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黑体" w:hAnsi="黑体" w:eastAsia="黑体"/>
          <w:b/>
          <w:sz w:val="28"/>
          <w:szCs w:val="28"/>
        </w:rPr>
      </w:pPr>
      <w:r>
        <w:rPr>
          <w:rFonts w:hint="eastAsia" w:ascii="黑体" w:hAnsi="黑体" w:eastAsia="黑体"/>
          <w:b/>
          <w:sz w:val="28"/>
          <w:szCs w:val="28"/>
        </w:rPr>
        <w:t>国家重点研发计划</w:t>
      </w:r>
      <w:r>
        <w:rPr>
          <w:rFonts w:ascii="黑体" w:hAnsi="黑体" w:eastAsia="黑体"/>
          <w:b/>
          <w:sz w:val="28"/>
          <w:szCs w:val="28"/>
        </w:rPr>
        <w:t>“</w:t>
      </w:r>
      <w:r>
        <w:rPr>
          <w:rFonts w:hint="eastAsia" w:ascii="黑体" w:hAnsi="黑体" w:eastAsia="黑体"/>
          <w:b/>
          <w:sz w:val="28"/>
          <w:szCs w:val="28"/>
        </w:rPr>
        <w:t>柑橘化肥农药减施技术集成研究与示范</w:t>
      </w:r>
      <w:r>
        <w:rPr>
          <w:rFonts w:ascii="黑体" w:hAnsi="黑体" w:eastAsia="黑体"/>
          <w:b/>
          <w:sz w:val="28"/>
          <w:szCs w:val="28"/>
        </w:rPr>
        <w:t>”</w:t>
      </w:r>
      <w:r>
        <w:rPr>
          <w:rFonts w:hint="eastAsia" w:ascii="黑体" w:hAnsi="黑体" w:eastAsia="黑体"/>
          <w:b/>
          <w:sz w:val="28"/>
          <w:szCs w:val="28"/>
        </w:rPr>
        <w:t>项目（</w:t>
      </w:r>
      <w:bookmarkStart w:id="0" w:name="OLE_LINK2"/>
      <w:bookmarkStart w:id="1" w:name="OLE_LINK1"/>
      <w:r>
        <w:rPr>
          <w:rFonts w:ascii="黑体" w:hAnsi="黑体" w:eastAsia="黑体"/>
          <w:b/>
          <w:sz w:val="28"/>
          <w:szCs w:val="28"/>
        </w:rPr>
        <w:t>2017YFD0202000</w:t>
      </w:r>
      <w:bookmarkEnd w:id="0"/>
      <w:bookmarkEnd w:id="1"/>
      <w:r>
        <w:rPr>
          <w:rFonts w:hint="eastAsia" w:ascii="黑体" w:hAnsi="黑体" w:eastAsia="黑体"/>
          <w:b/>
          <w:sz w:val="28"/>
          <w:szCs w:val="28"/>
        </w:rPr>
        <w:t>）管理规则</w:t>
      </w:r>
    </w:p>
    <w:p/>
    <w:p/>
    <w:p>
      <w:pPr>
        <w:ind w:firstLine="480" w:firstLineChars="200"/>
        <w:rPr>
          <w:rFonts w:ascii="华文中宋" w:hAnsi="华文中宋" w:eastAsia="华文中宋"/>
          <w:sz w:val="24"/>
          <w:szCs w:val="24"/>
        </w:rPr>
      </w:pPr>
      <w:r>
        <w:rPr>
          <w:rFonts w:hint="eastAsia" w:ascii="华文中宋" w:hAnsi="华文中宋" w:eastAsia="华文中宋"/>
          <w:sz w:val="24"/>
          <w:szCs w:val="24"/>
        </w:rPr>
        <w:t>一、总则</w:t>
      </w:r>
    </w:p>
    <w:p>
      <w:pPr>
        <w:pStyle w:val="10"/>
        <w:ind w:firstLine="480" w:firstLineChars="200"/>
        <w:rPr>
          <w:rFonts w:ascii="华文中宋" w:hAnsi="华文中宋" w:eastAsia="华文中宋"/>
        </w:rPr>
      </w:pPr>
      <w:r>
        <w:rPr>
          <w:rFonts w:hint="eastAsia" w:ascii="华文中宋" w:hAnsi="华文中宋" w:eastAsia="华文中宋"/>
        </w:rPr>
        <w:t xml:space="preserve">第一条  </w:t>
      </w:r>
      <w:r>
        <w:rPr>
          <w:rFonts w:ascii="华文中宋" w:hAnsi="华文中宋" w:eastAsia="华文中宋"/>
        </w:rPr>
        <w:t>为确保项目顺利实施，</w:t>
      </w:r>
      <w:r>
        <w:rPr>
          <w:rFonts w:hint="eastAsia" w:ascii="华文中宋" w:hAnsi="华文中宋" w:eastAsia="华文中宋"/>
        </w:rPr>
        <w:t>根据《国家重点研发计划管理暂行办法》（国科发资〔</w:t>
      </w:r>
      <w:r>
        <w:rPr>
          <w:rFonts w:ascii="华文中宋" w:hAnsi="华文中宋" w:eastAsia="华文中宋"/>
        </w:rPr>
        <w:t>2017〕152号</w:t>
      </w:r>
      <w:r>
        <w:rPr>
          <w:rFonts w:hint="eastAsia" w:ascii="华文中宋" w:hAnsi="华文中宋" w:eastAsia="华文中宋"/>
        </w:rPr>
        <w:t>），《国家重点研发计划资金管理办法》（财科教</w:t>
      </w:r>
      <w:r>
        <w:rPr>
          <w:rFonts w:ascii="华文中宋" w:hAnsi="华文中宋" w:eastAsia="华文中宋"/>
        </w:rPr>
        <w:t>[2016]113号</w:t>
      </w:r>
      <w:r>
        <w:rPr>
          <w:rFonts w:hint="eastAsia" w:ascii="华文中宋" w:hAnsi="华文中宋" w:eastAsia="华文中宋"/>
        </w:rPr>
        <w:t>）以及《国家科技重大专项</w:t>
      </w:r>
      <w:r>
        <w:rPr>
          <w:rFonts w:hint="eastAsia" w:ascii="华文中宋" w:hAnsi="华文中宋" w:eastAsia="华文中宋" w:cs="宋体"/>
          <w:bCs/>
          <w:color w:val="2A2A2A"/>
          <w:spacing w:val="6"/>
          <w:kern w:val="36"/>
        </w:rPr>
        <w:t>（民口）管理规定</w:t>
      </w:r>
      <w:r>
        <w:rPr>
          <w:rFonts w:hint="eastAsia" w:ascii="华文中宋" w:hAnsi="华文中宋" w:eastAsia="华文中宋"/>
        </w:rPr>
        <w:t>》等国家科技计划管理改革的有关要求，特制定本规则，</w:t>
      </w:r>
      <w:r>
        <w:rPr>
          <w:rFonts w:ascii="华文中宋" w:hAnsi="华文中宋" w:eastAsia="华文中宋"/>
        </w:rPr>
        <w:t>项目所有课题</w:t>
      </w:r>
      <w:r>
        <w:rPr>
          <w:rFonts w:hint="eastAsia" w:ascii="华文中宋" w:hAnsi="华文中宋" w:eastAsia="华文中宋"/>
        </w:rPr>
        <w:t>参加单位和人员</w:t>
      </w:r>
      <w:r>
        <w:rPr>
          <w:rFonts w:ascii="华文中宋" w:hAnsi="华文中宋" w:eastAsia="华文中宋"/>
        </w:rPr>
        <w:t>需参照执行</w:t>
      </w:r>
      <w:r>
        <w:rPr>
          <w:rFonts w:hint="eastAsia" w:ascii="华文中宋" w:hAnsi="华文中宋" w:eastAsia="华文中宋"/>
        </w:rPr>
        <w:t>。</w:t>
      </w:r>
    </w:p>
    <w:p>
      <w:pPr>
        <w:pStyle w:val="10"/>
        <w:ind w:firstLine="480" w:firstLineChars="200"/>
        <w:rPr>
          <w:rFonts w:ascii="华文中宋" w:hAnsi="华文中宋" w:eastAsia="华文中宋"/>
        </w:rPr>
      </w:pPr>
      <w:r>
        <w:rPr>
          <w:rFonts w:hint="eastAsia" w:ascii="华文中宋" w:hAnsi="华文中宋" w:eastAsia="华文中宋"/>
        </w:rPr>
        <w:t>第二条  组织实施管理的原则：明确目标，聚焦重点；创新机制，统筹资源；厘清权责，规范管理；定期评估，突出绩效；注重人才，创造环境。</w:t>
      </w:r>
    </w:p>
    <w:p>
      <w:pPr>
        <w:pStyle w:val="10"/>
        <w:ind w:firstLine="480" w:firstLineChars="200"/>
        <w:rPr>
          <w:rFonts w:ascii="华文中宋" w:hAnsi="华文中宋" w:eastAsia="华文中宋"/>
        </w:rPr>
      </w:pPr>
    </w:p>
    <w:p>
      <w:pPr>
        <w:ind w:firstLine="480" w:firstLineChars="200"/>
        <w:rPr>
          <w:rFonts w:ascii="华文中宋" w:hAnsi="华文中宋" w:eastAsia="华文中宋"/>
          <w:sz w:val="24"/>
          <w:szCs w:val="24"/>
        </w:rPr>
      </w:pPr>
      <w:r>
        <w:rPr>
          <w:rFonts w:hint="eastAsia" w:ascii="华文中宋" w:hAnsi="华文中宋" w:eastAsia="华文中宋"/>
          <w:sz w:val="24"/>
          <w:szCs w:val="24"/>
        </w:rPr>
        <w:t>二、组织管理与职责</w:t>
      </w:r>
    </w:p>
    <w:p>
      <w:pPr>
        <w:pStyle w:val="10"/>
        <w:ind w:firstLine="480" w:firstLineChars="200"/>
        <w:rPr>
          <w:rFonts w:ascii="华文中宋" w:hAnsi="华文中宋" w:eastAsia="华文中宋"/>
        </w:rPr>
      </w:pPr>
      <w:r>
        <w:rPr>
          <w:rFonts w:hint="eastAsia" w:ascii="华文中宋" w:hAnsi="华文中宋" w:eastAsia="华文中宋"/>
        </w:rPr>
        <w:t>第三条  农业部科技发展中心是本项目管理的专业机构，负责通过国家科技管理信息系统，对项目申报、立项和预算安排、监督检查、结题验收等全过程进行信息化管理，对实现任务目标负责，并主动向社会公开非涉密信息，接受公众监督；根据绩效评估和监督检查结果以及相关部门的建议，提出项目动态调整意见，实施统一的评估与监管机制和动态调整机制。</w:t>
      </w:r>
    </w:p>
    <w:p>
      <w:pPr>
        <w:pStyle w:val="10"/>
        <w:ind w:firstLine="480" w:firstLineChars="200"/>
        <w:rPr>
          <w:rFonts w:ascii="华文中宋" w:hAnsi="华文中宋" w:eastAsia="华文中宋"/>
        </w:rPr>
      </w:pPr>
      <w:r>
        <w:rPr>
          <w:rFonts w:hint="eastAsia" w:ascii="华文中宋" w:hAnsi="华文中宋" w:eastAsia="华文中宋"/>
        </w:rPr>
        <w:t>第四条  华中农业大学是项目牵头承担单位，各承担单位是项目（课题、任务）执行责任主体，要按照法人管理责任制的要求，强化内部控制与风险管理，对项目（课题、任务）实施和资金管理负责。按照项目（课题）任务合同书要求，落实配套支撑条件，组织任务实施，规范使用资金，促进成果转化，完成既定目标。要严格执行重大专项有关管理规定，认真履行合同条款，接受指导、检查，并配合评估和验收工作。</w:t>
      </w:r>
    </w:p>
    <w:p>
      <w:pPr>
        <w:pStyle w:val="10"/>
        <w:ind w:firstLine="480" w:firstLineChars="200"/>
        <w:rPr>
          <w:rFonts w:ascii="华文中宋" w:hAnsi="华文中宋" w:eastAsia="华文中宋"/>
        </w:rPr>
      </w:pPr>
      <w:r>
        <w:rPr>
          <w:rFonts w:hint="eastAsia" w:ascii="华文中宋" w:hAnsi="华文中宋" w:eastAsia="华文中宋"/>
        </w:rPr>
        <w:t>第五条  成立项目执行专家组，负责项目总体设计、任务和资金分配、组织实施和管理，对重大问题做出决策，对任务完成、资金使用情况开展定期检查、监督和考评。成员包括胡承孝、张宏宇、彭抒昂、豆威、彭良志、陈国庆、钟广炎、谭启玲（助理）；</w:t>
      </w:r>
      <w:r>
        <w:rPr>
          <w:rFonts w:ascii="华文中宋" w:hAnsi="华文中宋" w:eastAsia="华文中宋"/>
        </w:rPr>
        <w:t>项目</w:t>
      </w:r>
      <w:r>
        <w:rPr>
          <w:rFonts w:hint="eastAsia" w:ascii="华文中宋" w:hAnsi="华文中宋" w:eastAsia="华文中宋"/>
        </w:rPr>
        <w:t>负责人胡承孝教授兼任执行专家组组长，</w:t>
      </w:r>
      <w:r>
        <w:rPr>
          <w:rFonts w:ascii="华文中宋" w:hAnsi="华文中宋" w:eastAsia="华文中宋"/>
        </w:rPr>
        <w:t>全面负责项目的组织和实施工作</w:t>
      </w:r>
      <w:r>
        <w:rPr>
          <w:rFonts w:hint="eastAsia" w:ascii="华文中宋" w:hAnsi="华文中宋" w:eastAsia="华文中宋"/>
        </w:rPr>
        <w:t>；课题主持人负责课题任务分解和资金分配，组织编制、上报课题季度工作进展与经费使用报告，年度总结、计划与年度经费决算、预算方案，组织课题年度总结交流</w:t>
      </w:r>
      <w:r>
        <w:rPr>
          <w:rFonts w:ascii="华文中宋" w:hAnsi="华文中宋" w:eastAsia="华文中宋"/>
        </w:rPr>
        <w:t>。</w:t>
      </w:r>
    </w:p>
    <w:p>
      <w:pPr>
        <w:pStyle w:val="10"/>
        <w:ind w:firstLine="480" w:firstLineChars="200"/>
        <w:rPr>
          <w:rFonts w:ascii="华文中宋" w:hAnsi="华文中宋" w:eastAsia="华文中宋"/>
        </w:rPr>
      </w:pPr>
      <w:r>
        <w:rPr>
          <w:rFonts w:hint="eastAsia" w:ascii="华文中宋" w:hAnsi="华文中宋" w:eastAsia="华文中宋"/>
        </w:rPr>
        <w:t>第六条  项目接受专项总体专家组的指导、检查、评估和验收等。报经项目管理专业机构农业部科技发展中心同意，成立项目咨询专家组，由</w:t>
      </w:r>
      <w:r>
        <w:rPr>
          <w:rFonts w:ascii="华文中宋" w:hAnsi="华文中宋" w:eastAsia="华文中宋"/>
        </w:rPr>
        <w:t>7-9</w:t>
      </w:r>
      <w:r>
        <w:rPr>
          <w:rFonts w:hint="eastAsia" w:ascii="华文中宋" w:hAnsi="华文中宋" w:eastAsia="华文中宋"/>
        </w:rPr>
        <w:t>人组成（另行文），负责提出重大科学技术问题建议和组织实施决策，为课题的年度检查、中期评估和结题验收提出意见和建议。</w:t>
      </w:r>
    </w:p>
    <w:p>
      <w:pPr>
        <w:pStyle w:val="10"/>
        <w:ind w:firstLine="480" w:firstLineChars="200"/>
        <w:rPr>
          <w:rFonts w:ascii="华文中宋" w:hAnsi="华文中宋" w:eastAsia="华文中宋"/>
        </w:rPr>
      </w:pPr>
      <w:r>
        <w:rPr>
          <w:rFonts w:hint="eastAsia" w:ascii="华文中宋" w:hAnsi="华文中宋" w:eastAsia="华文中宋"/>
        </w:rPr>
        <w:t>第七条  成立项目管理协调组，作为各承担单位责任主体或法人代表，负责督查、协调任务实施进展、管理制度落实、内部控制及风险防范、人员调配及资源保障等，并协调配合检查、评估和验收工作。成员包括每个课题负责单位1人共5人（另行文），华中农业大学为组长单位。</w:t>
      </w:r>
    </w:p>
    <w:p>
      <w:pPr>
        <w:pStyle w:val="10"/>
        <w:ind w:firstLine="480" w:firstLineChars="200"/>
        <w:rPr>
          <w:rFonts w:ascii="华文中宋" w:hAnsi="华文中宋" w:eastAsia="华文中宋"/>
        </w:rPr>
      </w:pPr>
      <w:r>
        <w:rPr>
          <w:rFonts w:hint="eastAsia" w:ascii="华文中宋" w:hAnsi="华文中宋" w:eastAsia="华文中宋"/>
        </w:rPr>
        <w:t>第八条  成立项目办公室，挂靠项目牵头单位华中农业大学，负责项目日常运行管理和联络。包括季度、年度工作及财务报告等资料汇总、上报；上级部门及项目管理专业机构和课题、任务承担单位及负责人的联系；项目检查、评估、验收及会议、重大活动的组织、协调和宣传；文件、报表及信息的收集、整理和归档；协助项目咨询专家组、执行专家组、管理协调组开展日常工作。谭启玲任办公室主任，下设联络组、财务组，联络组由华中农业大学伍玉鹏、黄魏、张振宇牵头，其它课题负责单位各派1-2人组成；财务组由华中农业大学谭启玲牵头，其它课题负责单位各派1-2人，不允许财务组和联络组人员重叠。办公室及其联络组、财务组人员应明确分工，加强沟通协作，确保项目及各课题运行高效、信息畅通。</w:t>
      </w:r>
    </w:p>
    <w:p>
      <w:pPr>
        <w:pStyle w:val="10"/>
        <w:ind w:firstLine="480" w:firstLineChars="200"/>
        <w:jc w:val="both"/>
        <w:rPr>
          <w:rFonts w:ascii="华文中宋" w:hAnsi="华文中宋" w:eastAsia="华文中宋"/>
        </w:rPr>
      </w:pPr>
      <w:r>
        <w:rPr>
          <w:rFonts w:hint="eastAsia" w:ascii="华文中宋" w:hAnsi="华文中宋" w:eastAsia="华文中宋"/>
        </w:rPr>
        <w:t xml:space="preserve">第九条  </w:t>
      </w:r>
      <w:r>
        <w:rPr>
          <w:rFonts w:ascii="华文中宋" w:hAnsi="华文中宋" w:eastAsia="华文中宋"/>
        </w:rPr>
        <w:t>全面实行</w:t>
      </w:r>
      <w:r>
        <w:rPr>
          <w:rFonts w:hint="eastAsia" w:ascii="华文中宋" w:hAnsi="华文中宋" w:eastAsia="华文中宋"/>
        </w:rPr>
        <w:t>课题和任务</w:t>
      </w:r>
      <w:r>
        <w:rPr>
          <w:rFonts w:ascii="华文中宋" w:hAnsi="华文中宋" w:eastAsia="华文中宋"/>
        </w:rPr>
        <w:t>负责制，</w:t>
      </w:r>
      <w:r>
        <w:rPr>
          <w:rFonts w:hint="eastAsia" w:ascii="华文中宋" w:hAnsi="华文中宋" w:eastAsia="华文中宋"/>
        </w:rPr>
        <w:t>按照</w:t>
      </w:r>
      <w:r>
        <w:rPr>
          <w:rFonts w:ascii="华文中宋" w:hAnsi="华文中宋" w:eastAsia="华文中宋"/>
        </w:rPr>
        <w:t>责、权、利统一，</w:t>
      </w:r>
      <w:r>
        <w:rPr>
          <w:rFonts w:hint="eastAsia" w:ascii="华文中宋" w:hAnsi="华文中宋" w:eastAsia="华文中宋"/>
        </w:rPr>
        <w:t>项目与</w:t>
      </w:r>
      <w:r>
        <w:rPr>
          <w:rFonts w:ascii="华文中宋" w:hAnsi="华文中宋" w:eastAsia="华文中宋"/>
        </w:rPr>
        <w:t>课题</w:t>
      </w:r>
      <w:r>
        <w:rPr>
          <w:rFonts w:hint="eastAsia" w:ascii="华文中宋" w:hAnsi="华文中宋" w:eastAsia="华文中宋"/>
        </w:rPr>
        <w:t>和任务</w:t>
      </w:r>
      <w:r>
        <w:rPr>
          <w:rFonts w:ascii="华文中宋" w:hAnsi="华文中宋" w:eastAsia="华文中宋"/>
        </w:rPr>
        <w:t>负责人</w:t>
      </w:r>
      <w:r>
        <w:rPr>
          <w:rFonts w:hint="eastAsia" w:ascii="华文中宋" w:hAnsi="华文中宋" w:eastAsia="华文中宋"/>
        </w:rPr>
        <w:t>签订合同，</w:t>
      </w:r>
      <w:r>
        <w:rPr>
          <w:rFonts w:ascii="华文中宋" w:hAnsi="华文中宋" w:eastAsia="华文中宋"/>
        </w:rPr>
        <w:t>在执行专家组领导下，按照合同要求全面实施</w:t>
      </w:r>
      <w:r>
        <w:rPr>
          <w:rFonts w:hint="eastAsia" w:ascii="华文中宋" w:hAnsi="华文中宋" w:eastAsia="华文中宋"/>
        </w:rPr>
        <w:t>。任务负责人对课题负责，任务和课题负责人均对项目负责，层层分解任务内容，指标到人，责任到人，落实到人，开展定期和不定期检查、监督，督促并落实相关配套条件；保证课题负责人和骨干人员相对稳定，保障工作连续、高效，投入足够精力确保项目顺利开展和任务圆满完成；坚持报表制度，严格执行规范的科研记录、培训登记、现场考察、技术规范及成果登报表等；严格落实财务管理制度，规范开支范围，督查、跟踪经费使用情况，预防违规使用经费，定期统计并汇总上报。</w:t>
      </w:r>
    </w:p>
    <w:p>
      <w:pPr>
        <w:pStyle w:val="10"/>
        <w:ind w:firstLine="480" w:firstLineChars="200"/>
        <w:rPr>
          <w:rFonts w:ascii="华文中宋" w:hAnsi="华文中宋" w:eastAsia="华文中宋"/>
        </w:rPr>
      </w:pPr>
    </w:p>
    <w:p>
      <w:pPr>
        <w:pStyle w:val="10"/>
        <w:ind w:firstLine="480" w:firstLineChars="200"/>
        <w:rPr>
          <w:rFonts w:ascii="华文中宋" w:hAnsi="华文中宋" w:eastAsia="华文中宋"/>
        </w:rPr>
      </w:pPr>
      <w:r>
        <w:rPr>
          <w:rFonts w:hint="eastAsia" w:ascii="华文中宋" w:hAnsi="华文中宋" w:eastAsia="华文中宋"/>
        </w:rPr>
        <w:t>三、实施过程管理与监督</w:t>
      </w:r>
    </w:p>
    <w:p>
      <w:pPr>
        <w:pStyle w:val="10"/>
        <w:ind w:firstLine="480" w:firstLineChars="200"/>
        <w:rPr>
          <w:rFonts w:ascii="华文中宋" w:hAnsi="华文中宋" w:eastAsia="华文中宋"/>
        </w:rPr>
      </w:pPr>
      <w:r>
        <w:rPr>
          <w:rFonts w:hint="eastAsia" w:ascii="华文中宋" w:hAnsi="华文中宋" w:eastAsia="华文中宋"/>
        </w:rPr>
        <w:t>第十条  实施方案是项目、课题及任务组织实施、监督检查、评估验收的依据。要制定项目、课题及任务三级实施方案，重点包括研究目标、主要研究内容、拟解决的重大科学问题或关键技术、考核指标及评测手段/方法等；尤其是围绕考核指标，重点明确研发的核心技术、构建的技术体系及技术模式和规范，落实示范县、万亩基地、千亩片和新型经营主体园。根据实施方案和预期进展，制定年度工作计划，细化安排科学实验、技术试验示范以及人员培训、示范基地建设、推广应用的具体任务内容、指标，要求任务到人、落地到园、时间到月。</w:t>
      </w:r>
    </w:p>
    <w:p>
      <w:pPr>
        <w:pStyle w:val="10"/>
        <w:ind w:firstLine="480" w:firstLineChars="200"/>
        <w:rPr>
          <w:rFonts w:ascii="华文中宋" w:hAnsi="华文中宋" w:eastAsia="华文中宋"/>
        </w:rPr>
      </w:pPr>
      <w:r>
        <w:rPr>
          <w:rFonts w:hint="eastAsia" w:ascii="华文中宋" w:hAnsi="华文中宋" w:eastAsia="华文中宋"/>
        </w:rPr>
        <w:t>第十一条  科研记录和档案资料是项目、课题及任务阶段检查、总结验收、成果评价、宣传展示的基础凭据。各课题、任务及所有项目成员必须客观、真实、规范地做好科研记录及其保管，及时、准确、完整地做好档案材料收集、整理及保存。具体如下：</w:t>
      </w:r>
    </w:p>
    <w:p>
      <w:pPr>
        <w:pStyle w:val="10"/>
        <w:ind w:firstLine="480" w:firstLineChars="200"/>
        <w:rPr>
          <w:rFonts w:ascii="华文中宋" w:hAnsi="华文中宋" w:eastAsia="华文中宋"/>
        </w:rPr>
      </w:pPr>
      <w:r>
        <w:rPr>
          <w:rFonts w:hint="eastAsia" w:ascii="华文中宋" w:hAnsi="华文中宋" w:eastAsia="华文中宋"/>
        </w:rPr>
        <w:t>1.科研记录本。严格按各单位科研记录规范记录，成册按编号排序存档。</w:t>
      </w:r>
    </w:p>
    <w:p>
      <w:pPr>
        <w:pStyle w:val="10"/>
        <w:ind w:firstLine="480" w:firstLineChars="200"/>
        <w:rPr>
          <w:rFonts w:ascii="华文中宋" w:hAnsi="华文中宋" w:eastAsia="华文中宋"/>
        </w:rPr>
      </w:pPr>
      <w:r>
        <w:rPr>
          <w:rFonts w:hint="eastAsia" w:ascii="华文中宋" w:hAnsi="华文中宋" w:eastAsia="华文中宋"/>
        </w:rPr>
        <w:t>2.基础档案资料。</w:t>
      </w:r>
      <w:r>
        <w:rPr>
          <w:rFonts w:ascii="华文中宋" w:hAnsi="华文中宋" w:eastAsia="华文中宋"/>
        </w:rPr>
        <w:t>包括：</w:t>
      </w:r>
      <w:r>
        <w:rPr>
          <w:rFonts w:hint="eastAsia" w:ascii="华文中宋" w:hAnsi="华文中宋" w:eastAsia="华文中宋"/>
        </w:rPr>
        <w:t>柑橘化肥农药施用情况调查表（附件1），</w:t>
      </w:r>
      <w:r>
        <w:rPr>
          <w:rFonts w:ascii="华文中宋" w:hAnsi="华文中宋" w:eastAsia="华文中宋"/>
        </w:rPr>
        <w:t>培训登记表</w:t>
      </w:r>
      <w:r>
        <w:rPr>
          <w:rFonts w:hint="eastAsia" w:ascii="华文中宋" w:hAnsi="华文中宋" w:eastAsia="华文中宋"/>
        </w:rPr>
        <w:t>（见</w:t>
      </w:r>
      <w:r>
        <w:rPr>
          <w:rFonts w:ascii="华文中宋" w:hAnsi="华文中宋" w:eastAsia="华文中宋"/>
        </w:rPr>
        <w:t>附件</w:t>
      </w:r>
      <w:r>
        <w:rPr>
          <w:rFonts w:hint="eastAsia" w:ascii="华文中宋" w:hAnsi="华文中宋" w:eastAsia="华文中宋"/>
        </w:rPr>
        <w:t>2</w:t>
      </w:r>
      <w:r>
        <w:rPr>
          <w:rFonts w:ascii="华文中宋" w:hAnsi="华文中宋" w:eastAsia="华文中宋"/>
        </w:rPr>
        <w:t>-1、</w:t>
      </w:r>
      <w:r>
        <w:rPr>
          <w:rFonts w:hint="eastAsia" w:ascii="华文中宋" w:hAnsi="华文中宋" w:eastAsia="华文中宋"/>
        </w:rPr>
        <w:t>2</w:t>
      </w:r>
      <w:r>
        <w:rPr>
          <w:rFonts w:ascii="华文中宋" w:hAnsi="华文中宋" w:eastAsia="华文中宋"/>
        </w:rPr>
        <w:t>-2</w:t>
      </w:r>
      <w:r>
        <w:rPr>
          <w:rFonts w:hint="eastAsia" w:ascii="华文中宋" w:hAnsi="华文中宋" w:eastAsia="华文中宋"/>
        </w:rPr>
        <w:t>），</w:t>
      </w:r>
      <w:r>
        <w:rPr>
          <w:rFonts w:ascii="华文中宋" w:hAnsi="华文中宋" w:eastAsia="华文中宋"/>
        </w:rPr>
        <w:t>示范基地</w:t>
      </w:r>
      <w:r>
        <w:rPr>
          <w:rFonts w:hint="eastAsia" w:ascii="华文中宋" w:hAnsi="华文中宋" w:eastAsia="华文中宋"/>
        </w:rPr>
        <w:t>登记表（</w:t>
      </w:r>
      <w:r>
        <w:rPr>
          <w:rFonts w:ascii="华文中宋" w:hAnsi="华文中宋" w:eastAsia="华文中宋"/>
        </w:rPr>
        <w:t>附件</w:t>
      </w:r>
      <w:r>
        <w:rPr>
          <w:rFonts w:hint="eastAsia" w:ascii="华文中宋" w:hAnsi="华文中宋" w:eastAsia="华文中宋"/>
        </w:rPr>
        <w:t>3-1、3-2），</w:t>
      </w:r>
      <w:r>
        <w:rPr>
          <w:rFonts w:ascii="华文中宋" w:hAnsi="华文中宋" w:eastAsia="华文中宋"/>
        </w:rPr>
        <w:t>新产品</w:t>
      </w:r>
      <w:r>
        <w:rPr>
          <w:rFonts w:hint="eastAsia" w:ascii="华文中宋" w:hAnsi="华文中宋" w:eastAsia="华文中宋"/>
        </w:rPr>
        <w:t>推广登记表（</w:t>
      </w:r>
      <w:r>
        <w:rPr>
          <w:rFonts w:ascii="华文中宋" w:hAnsi="华文中宋" w:eastAsia="华文中宋"/>
        </w:rPr>
        <w:t>附件</w:t>
      </w:r>
      <w:r>
        <w:rPr>
          <w:rFonts w:hint="eastAsia" w:ascii="华文中宋" w:hAnsi="华文中宋" w:eastAsia="华文中宋"/>
        </w:rPr>
        <w:t>4</w:t>
      </w:r>
      <w:r>
        <w:rPr>
          <w:rFonts w:ascii="华文中宋" w:hAnsi="华文中宋" w:eastAsia="华文中宋"/>
        </w:rPr>
        <w:t>-1、</w:t>
      </w:r>
      <w:r>
        <w:rPr>
          <w:rFonts w:hint="eastAsia" w:ascii="华文中宋" w:hAnsi="华文中宋" w:eastAsia="华文中宋"/>
        </w:rPr>
        <w:t>4</w:t>
      </w:r>
      <w:r>
        <w:rPr>
          <w:rFonts w:ascii="华文中宋" w:hAnsi="华文中宋" w:eastAsia="华文中宋"/>
        </w:rPr>
        <w:t>-2</w:t>
      </w:r>
      <w:r>
        <w:rPr>
          <w:rFonts w:hint="eastAsia" w:ascii="华文中宋" w:hAnsi="华文中宋" w:eastAsia="华文中宋"/>
        </w:rPr>
        <w:t>）</w:t>
      </w:r>
      <w:r>
        <w:rPr>
          <w:rFonts w:ascii="华文中宋" w:hAnsi="华文中宋" w:eastAsia="华文中宋"/>
        </w:rPr>
        <w:t>。</w:t>
      </w:r>
    </w:p>
    <w:p>
      <w:pPr>
        <w:pStyle w:val="10"/>
        <w:ind w:firstLine="480" w:firstLineChars="200"/>
        <w:rPr>
          <w:rFonts w:ascii="华文中宋" w:hAnsi="华文中宋" w:eastAsia="华文中宋"/>
        </w:rPr>
      </w:pPr>
      <w:r>
        <w:rPr>
          <w:rFonts w:hint="eastAsia" w:ascii="华文中宋" w:hAnsi="华文中宋" w:eastAsia="华文中宋"/>
        </w:rPr>
        <w:t>3.成果档案材料。每年按内容及表格统计和上报成果（附件</w:t>
      </w:r>
      <w:r>
        <w:rPr>
          <w:rFonts w:ascii="华文中宋" w:hAnsi="华文中宋" w:eastAsia="华文中宋"/>
        </w:rPr>
        <w:t>5</w:t>
      </w:r>
      <w:r>
        <w:rPr>
          <w:rFonts w:hint="eastAsia" w:ascii="华文中宋" w:hAnsi="华文中宋" w:eastAsia="华文中宋"/>
        </w:rPr>
        <w:t>），包括：</w:t>
      </w:r>
    </w:p>
    <w:p>
      <w:pPr>
        <w:pStyle w:val="10"/>
        <w:ind w:firstLine="480" w:firstLineChars="200"/>
        <w:jc w:val="both"/>
        <w:rPr>
          <w:rFonts w:ascii="华文中宋" w:hAnsi="华文中宋" w:eastAsia="华文中宋"/>
        </w:rPr>
      </w:pPr>
      <w:r>
        <w:rPr>
          <w:rFonts w:hint="eastAsia" w:ascii="华文中宋" w:hAnsi="华文中宋" w:eastAsia="华文中宋"/>
        </w:rPr>
        <w:t>（1）论文、专利、新产品、规程、标准、专著、培训材料等。必须与项目研究内容紧密相关，发表或接受日期在项目实施期内，发表论文需标注“国家重点研发计划（英文标注为National Key R&amp;D Program of China）（</w:t>
      </w:r>
      <w:r>
        <w:rPr>
          <w:rFonts w:ascii="华文中宋" w:hAnsi="华文中宋" w:eastAsia="华文中宋"/>
        </w:rPr>
        <w:t>201</w:t>
      </w:r>
      <w:r>
        <w:rPr>
          <w:rFonts w:hint="eastAsia" w:ascii="华文中宋" w:hAnsi="华文中宋" w:eastAsia="华文中宋"/>
        </w:rPr>
        <w:t>7</w:t>
      </w:r>
      <w:r>
        <w:rPr>
          <w:rFonts w:ascii="华文中宋" w:hAnsi="华文中宋" w:eastAsia="华文中宋"/>
        </w:rPr>
        <w:t>YFD020</w:t>
      </w:r>
      <w:r>
        <w:rPr>
          <w:rFonts w:hint="eastAsia" w:ascii="华文中宋" w:hAnsi="华文中宋" w:eastAsia="华文中宋"/>
        </w:rPr>
        <w:t>20</w:t>
      </w:r>
      <w:r>
        <w:rPr>
          <w:rFonts w:ascii="华文中宋" w:hAnsi="华文中宋" w:eastAsia="华文中宋"/>
        </w:rPr>
        <w:t>00</w:t>
      </w:r>
      <w:r>
        <w:rPr>
          <w:rFonts w:hint="eastAsia" w:ascii="华文中宋" w:hAnsi="华文中宋" w:eastAsia="华文中宋"/>
        </w:rPr>
        <w:t>）”且必须是第一位；专利、新产品，应强调转化和实际应用；规程、标准，应经过省级及以上审定成为地方或行业标准；专著、培训材料，应体现最新研究成果和进展，提倡课题之间联合编写培训材料。</w:t>
      </w:r>
      <w:r>
        <w:rPr>
          <w:rFonts w:ascii="华文中宋" w:hAnsi="华文中宋" w:eastAsia="华文中宋"/>
        </w:rPr>
        <w:t xml:space="preserve"> </w:t>
      </w:r>
    </w:p>
    <w:p>
      <w:pPr>
        <w:pStyle w:val="10"/>
        <w:ind w:firstLine="480" w:firstLineChars="200"/>
        <w:rPr>
          <w:rFonts w:ascii="华文中宋" w:hAnsi="华文中宋" w:eastAsia="华文中宋"/>
        </w:rPr>
      </w:pPr>
      <w:r>
        <w:rPr>
          <w:rFonts w:hint="eastAsia" w:ascii="华文中宋" w:hAnsi="华文中宋" w:eastAsia="华文中宋"/>
        </w:rPr>
        <w:t>（2）现场验收、鉴定报告。相关专家对技术实施效果进行现场验收、鉴定形成的报告。</w:t>
      </w:r>
      <w:r>
        <w:rPr>
          <w:rFonts w:ascii="华文中宋" w:hAnsi="华文中宋" w:eastAsia="华文中宋"/>
        </w:rPr>
        <w:t xml:space="preserve"> </w:t>
      </w:r>
    </w:p>
    <w:p>
      <w:pPr>
        <w:pStyle w:val="10"/>
        <w:ind w:firstLine="480" w:firstLineChars="200"/>
        <w:rPr>
          <w:rFonts w:ascii="华文中宋" w:hAnsi="华文中宋" w:eastAsia="华文中宋"/>
        </w:rPr>
      </w:pPr>
      <w:r>
        <w:rPr>
          <w:rFonts w:hint="eastAsia" w:ascii="华文中宋" w:hAnsi="华文中宋" w:eastAsia="华文中宋"/>
        </w:rPr>
        <w:t>（3）第三方评价报告。第三方专业机构的评价报告。</w:t>
      </w:r>
      <w:r>
        <w:rPr>
          <w:rFonts w:ascii="华文中宋" w:hAnsi="华文中宋" w:eastAsia="华文中宋"/>
        </w:rPr>
        <w:t xml:space="preserve"> </w:t>
      </w:r>
    </w:p>
    <w:p>
      <w:pPr>
        <w:pStyle w:val="10"/>
        <w:ind w:firstLine="480" w:firstLineChars="200"/>
        <w:rPr>
          <w:rFonts w:ascii="华文中宋" w:hAnsi="华文中宋" w:eastAsia="华文中宋"/>
        </w:rPr>
      </w:pPr>
      <w:r>
        <w:rPr>
          <w:rFonts w:hint="eastAsia" w:ascii="华文中宋" w:hAnsi="华文中宋" w:eastAsia="华文中宋"/>
        </w:rPr>
        <w:t>（4）示范基地展示牌。所有示范基地都要按规范内容树立展示牌（附件6）。</w:t>
      </w:r>
    </w:p>
    <w:p>
      <w:pPr>
        <w:pStyle w:val="10"/>
        <w:ind w:firstLine="480" w:firstLineChars="200"/>
        <w:rPr>
          <w:rFonts w:ascii="华文中宋" w:hAnsi="华文中宋" w:eastAsia="华文中宋"/>
        </w:rPr>
      </w:pPr>
      <w:r>
        <w:rPr>
          <w:rFonts w:hint="eastAsia" w:ascii="华文中宋" w:hAnsi="华文中宋" w:eastAsia="华文中宋"/>
        </w:rPr>
        <w:t>4.媒体宣传材料。每年按表格统计和上报（附件7）。应高度重视项目成果的媒体宣传，注意保存媒体宣传资料（网页、视频、报纸、期刊、公共网络平台等）。</w:t>
      </w:r>
      <w:r>
        <w:rPr>
          <w:rFonts w:ascii="华文中宋" w:hAnsi="华文中宋" w:eastAsia="华文中宋"/>
        </w:rPr>
        <w:t xml:space="preserve"> </w:t>
      </w:r>
    </w:p>
    <w:p>
      <w:pPr>
        <w:pStyle w:val="10"/>
        <w:ind w:firstLine="480" w:firstLineChars="200"/>
        <w:rPr>
          <w:rFonts w:ascii="华文中宋" w:hAnsi="华文中宋" w:eastAsia="华文中宋"/>
        </w:rPr>
      </w:pPr>
      <w:r>
        <w:rPr>
          <w:rFonts w:hint="eastAsia" w:ascii="华文中宋" w:hAnsi="华文中宋" w:eastAsia="华文中宋"/>
        </w:rPr>
        <w:t>5.参与政府决策等。每年按表格统计和上报（附件8）。包括参与起草的文件、指南、行动方案、规划、建议等，各级政府聘用的专家、顾问证明材料等。</w:t>
      </w:r>
    </w:p>
    <w:p>
      <w:pPr>
        <w:pStyle w:val="10"/>
        <w:ind w:firstLine="480" w:firstLineChars="200"/>
        <w:rPr>
          <w:rFonts w:ascii="华文中宋" w:hAnsi="华文中宋" w:eastAsia="华文中宋"/>
        </w:rPr>
      </w:pPr>
      <w:r>
        <w:rPr>
          <w:rFonts w:hint="eastAsia" w:ascii="华文中宋" w:hAnsi="华文中宋" w:eastAsia="华文中宋"/>
        </w:rPr>
        <w:t>第十二条  会议制度。每年度召开项目进展交流和工作总结会议</w:t>
      </w:r>
      <w:r>
        <w:rPr>
          <w:rFonts w:ascii="华文中宋" w:hAnsi="华文中宋" w:eastAsia="华文中宋"/>
        </w:rPr>
        <w:t>1</w:t>
      </w:r>
      <w:r>
        <w:rPr>
          <w:rFonts w:hint="eastAsia" w:ascii="华文中宋" w:hAnsi="华文中宋" w:eastAsia="华文中宋"/>
        </w:rPr>
        <w:t>次，项目咨询专家组、执行专家组、管理协调组参加会议并同期集中召开年度工作会议；各个课题负责人根据任务合同书做工作汇报，研发骨干围绕会议主题做研究进展交流，根据科技部和农业部相关要求开展年度总结、考核并部署下一年度或阶段工作。经执行专家组同意，项目负责人每年可召集专题沟通协调或推进会1次，主要解决课题间协调协作、信息及资源共享、技术转移与整合、政产学研联合、大面积推广应用等项目整体性问题。各课题根据工作安排和实际需要，每年召开会议1次。</w:t>
      </w:r>
    </w:p>
    <w:p>
      <w:pPr>
        <w:pStyle w:val="10"/>
        <w:ind w:firstLine="480" w:firstLineChars="200"/>
        <w:rPr>
          <w:rFonts w:ascii="华文中宋" w:hAnsi="华文中宋" w:eastAsia="华文中宋"/>
        </w:rPr>
      </w:pPr>
      <w:r>
        <w:rPr>
          <w:rFonts w:hint="eastAsia" w:ascii="华文中宋" w:hAnsi="华文中宋" w:eastAsia="华文中宋"/>
        </w:rPr>
        <w:t>四、总结与验收</w:t>
      </w:r>
    </w:p>
    <w:p>
      <w:pPr>
        <w:pStyle w:val="10"/>
        <w:ind w:firstLine="480" w:firstLineChars="200"/>
        <w:rPr>
          <w:rFonts w:ascii="华文中宋" w:hAnsi="华文中宋" w:eastAsia="华文中宋"/>
        </w:rPr>
      </w:pPr>
      <w:r>
        <w:rPr>
          <w:rFonts w:hint="eastAsia" w:ascii="华文中宋" w:hAnsi="华文中宋" w:eastAsia="华文中宋"/>
        </w:rPr>
        <w:t>第十三条  评价机制。实行年度综合考评，项目每年对各个课题开展1次综合评价，课题对各个任务开展1次综合评价。综合评价内容包括资金使用情况、任务完成情况和日常材料提交情况3部分，具体如下。</w:t>
      </w:r>
    </w:p>
    <w:p>
      <w:pPr>
        <w:pStyle w:val="10"/>
        <w:ind w:firstLine="480" w:firstLineChars="200"/>
        <w:rPr>
          <w:rFonts w:ascii="华文中宋" w:hAnsi="华文中宋" w:eastAsia="华文中宋"/>
        </w:rPr>
      </w:pPr>
      <w:r>
        <w:rPr>
          <w:rFonts w:hint="eastAsia" w:ascii="华文中宋" w:hAnsi="华文中宋" w:eastAsia="华文中宋"/>
        </w:rPr>
        <w:t>1.资金使用情况。课题及任务负责人负责资金的使用管理，包括直接经费和间接经费，资金的使用必须符合《国家重点研发计划资金管理办法》及国家相关部委的规定。该项为评价的基础标准，分合格和不合格等级，资金使用情况不合格即定为综合评价即为不合格。</w:t>
      </w:r>
      <w:r>
        <w:rPr>
          <w:rFonts w:ascii="华文中宋" w:hAnsi="华文中宋" w:eastAsia="华文中宋"/>
        </w:rPr>
        <w:t xml:space="preserve"> </w:t>
      </w:r>
    </w:p>
    <w:p>
      <w:pPr>
        <w:pStyle w:val="10"/>
        <w:ind w:firstLine="480" w:firstLineChars="200"/>
        <w:rPr>
          <w:rFonts w:ascii="华文中宋" w:hAnsi="华文中宋" w:eastAsia="华文中宋"/>
        </w:rPr>
      </w:pPr>
      <w:r>
        <w:rPr>
          <w:rFonts w:hint="eastAsia" w:ascii="华文中宋" w:hAnsi="华文中宋" w:eastAsia="华文中宋"/>
        </w:rPr>
        <w:t>2.任务完成情况：课题及任务负责人汇报工作进展，由项目执行专家组参考任务合同书、实施方案及年度计划进行评定，该部分满分</w:t>
      </w:r>
      <w:r>
        <w:rPr>
          <w:rFonts w:ascii="华文中宋" w:hAnsi="华文中宋" w:eastAsia="华文中宋"/>
        </w:rPr>
        <w:t>50</w:t>
      </w:r>
      <w:r>
        <w:rPr>
          <w:rFonts w:hint="eastAsia" w:ascii="华文中宋" w:hAnsi="华文中宋" w:eastAsia="华文中宋"/>
        </w:rPr>
        <w:t>分。</w:t>
      </w:r>
      <w:r>
        <w:rPr>
          <w:rFonts w:ascii="华文中宋" w:hAnsi="华文中宋" w:eastAsia="华文中宋"/>
        </w:rPr>
        <w:t xml:space="preserve"> </w:t>
      </w:r>
    </w:p>
    <w:p>
      <w:pPr>
        <w:pStyle w:val="10"/>
        <w:ind w:firstLine="480" w:firstLineChars="200"/>
        <w:rPr>
          <w:rFonts w:ascii="华文中宋" w:hAnsi="华文中宋" w:eastAsia="华文中宋"/>
        </w:rPr>
      </w:pPr>
      <w:r>
        <w:rPr>
          <w:rFonts w:hint="eastAsia" w:ascii="华文中宋" w:hAnsi="华文中宋" w:eastAsia="华文中宋"/>
        </w:rPr>
        <w:t>3.材料提交情况：该部分满分为5</w:t>
      </w:r>
      <w:r>
        <w:rPr>
          <w:rFonts w:ascii="华文中宋" w:hAnsi="华文中宋" w:eastAsia="华文中宋"/>
        </w:rPr>
        <w:t>0</w:t>
      </w:r>
      <w:r>
        <w:rPr>
          <w:rFonts w:hint="eastAsia" w:ascii="华文中宋" w:hAnsi="华文中宋" w:eastAsia="华文中宋"/>
        </w:rPr>
        <w:t>分，项目所需材料需按时提交，每次每晚提交1天扣2分直至扣满50分。</w:t>
      </w:r>
    </w:p>
    <w:p>
      <w:pPr>
        <w:pStyle w:val="10"/>
        <w:ind w:firstLine="480" w:firstLineChars="200"/>
        <w:rPr>
          <w:rFonts w:ascii="华文中宋" w:hAnsi="华文中宋" w:eastAsia="华文中宋"/>
        </w:rPr>
      </w:pPr>
      <w:r>
        <w:rPr>
          <w:rFonts w:hint="eastAsia" w:ascii="华文中宋" w:hAnsi="华文中宋" w:eastAsia="华文中宋"/>
        </w:rPr>
        <w:t>课题年度综合评价结果上报农业部科技发展中心和科技部备案，对评价不合格的课题依专项管理办法报送科技部和农业部科技发展中心处理；任务年度综合评价结果报所在单位和项目办公室备案，对评价不合格者提出诫勉以至警告并酌情减少经费。</w:t>
      </w:r>
    </w:p>
    <w:p>
      <w:pPr>
        <w:pStyle w:val="10"/>
        <w:ind w:firstLine="480" w:firstLineChars="200"/>
        <w:rPr>
          <w:rFonts w:ascii="华文中宋" w:hAnsi="华文中宋" w:eastAsia="华文中宋"/>
        </w:rPr>
      </w:pPr>
      <w:r>
        <w:rPr>
          <w:rFonts w:hint="eastAsia" w:ascii="华文中宋" w:hAnsi="华文中宋" w:eastAsia="华文中宋"/>
        </w:rPr>
        <w:t>每年12月底前提交项目及课题年度执行情况报告。</w:t>
      </w:r>
    </w:p>
    <w:p>
      <w:pPr>
        <w:pStyle w:val="10"/>
        <w:ind w:firstLine="480" w:firstLineChars="200"/>
        <w:rPr>
          <w:rFonts w:ascii="华文中宋" w:hAnsi="华文中宋" w:eastAsia="华文中宋"/>
        </w:rPr>
      </w:pPr>
      <w:r>
        <w:rPr>
          <w:rFonts w:hint="eastAsia" w:ascii="华文中宋" w:hAnsi="华文中宋" w:eastAsia="华文中宋"/>
        </w:rPr>
        <w:t>第十四条  验收。专业机构负责组织项目及课题总结验收（包括任务验收和财务验收），项目（课题）验收工作应在任务合同到期后6个月内完成，原则上，延期时间不超过1年；按照国家科技报告制度的有关要求，每个项目及课题在验收时向专业机构提交完整的、统一格式的技术报告，项目（课题）验收等相关情况纳入重大专项管理信息系统，并记入诚信档案。由课题负责人组织执行专家组对各个任务的总结验收。</w:t>
      </w:r>
    </w:p>
    <w:p>
      <w:pPr>
        <w:pStyle w:val="10"/>
        <w:ind w:firstLine="480" w:firstLineChars="200"/>
        <w:rPr>
          <w:rFonts w:ascii="华文中宋" w:hAnsi="华文中宋" w:eastAsia="华文中宋"/>
        </w:rPr>
      </w:pPr>
      <w:r>
        <w:rPr>
          <w:rFonts w:hint="eastAsia" w:ascii="华文中宋" w:hAnsi="华文中宋" w:eastAsia="华文中宋"/>
        </w:rPr>
        <w:t>五、成果、知识产权</w:t>
      </w:r>
    </w:p>
    <w:p>
      <w:pPr>
        <w:pStyle w:val="10"/>
        <w:ind w:firstLine="480" w:firstLineChars="200"/>
        <w:rPr>
          <w:rFonts w:ascii="华文中宋" w:hAnsi="华文中宋" w:eastAsia="华文中宋"/>
        </w:rPr>
      </w:pPr>
      <w:r>
        <w:rPr>
          <w:rFonts w:hint="eastAsia" w:ascii="华文中宋" w:hAnsi="华文中宋" w:eastAsia="华文中宋"/>
        </w:rPr>
        <w:t>第十五条  高度重视知识产权保护和管理。项目及课题要指定人员负责知识产权工作，跟踪国内外相关领域知识产权动态，形成知识产权分析报告，为项目研发提供参考。本项目取得的相关知识产权的归属和使用，按照《中华人民共和国科学技术进步法》、《中华人民共和国促进科技成果转化法》、《国家知识产权战略纲要》等执行，有向国内其他单位有偿或无偿许可实施和项目内单位无偿实施的义务。</w:t>
      </w:r>
    </w:p>
    <w:p>
      <w:pPr>
        <w:pStyle w:val="10"/>
        <w:ind w:firstLine="480" w:firstLineChars="200"/>
        <w:rPr>
          <w:rFonts w:ascii="华文中宋" w:hAnsi="华文中宋" w:eastAsia="华文中宋"/>
        </w:rPr>
      </w:pPr>
      <w:r>
        <w:rPr>
          <w:rFonts w:hint="eastAsia" w:ascii="华文中宋" w:hAnsi="华文中宋" w:eastAsia="华文中宋"/>
        </w:rPr>
        <w:t>第十六条  加强科技成果的固化和转化。项目实施形成的科技成果应及时以论文、专利、专著、规程、标准、产品、报告等形式固化，通过示范基地的现场展示会、考察会、培训会等途径结合媒体传播；项目内课题间类似或相近技术应加强集成、组装，构建技术体系、技术模式，要努力形成大成果，服务服从于项目总体目标；搭建政产学研用一体化成果转化与技术推广平台，主动联合</w:t>
      </w:r>
      <w:r>
        <w:rPr>
          <w:rFonts w:ascii="华文中宋" w:hAnsi="华文中宋" w:eastAsia="华文中宋"/>
        </w:rPr>
        <w:t>企业开展技术开发、技术咨询、技术服务、技术培训</w:t>
      </w:r>
      <w:r>
        <w:rPr>
          <w:rFonts w:hint="eastAsia" w:ascii="华文中宋" w:hAnsi="华文中宋" w:eastAsia="华文中宋"/>
        </w:rPr>
        <w:t>、技术示范和推广</w:t>
      </w:r>
      <w:r>
        <w:rPr>
          <w:rFonts w:ascii="华文中宋" w:hAnsi="华文中宋" w:eastAsia="华文中宋"/>
        </w:rPr>
        <w:t>等活动</w:t>
      </w:r>
      <w:r>
        <w:rPr>
          <w:rFonts w:hint="eastAsia" w:ascii="华文中宋" w:hAnsi="华文中宋" w:eastAsia="华文中宋"/>
        </w:rPr>
        <w:t>；必须</w:t>
      </w:r>
      <w:r>
        <w:rPr>
          <w:rFonts w:ascii="华文中宋" w:hAnsi="华文中宋" w:eastAsia="华文中宋"/>
        </w:rPr>
        <w:t>依据合同法</w:t>
      </w:r>
      <w:r>
        <w:rPr>
          <w:rFonts w:hint="eastAsia" w:ascii="华文中宋" w:hAnsi="华文中宋" w:eastAsia="华文中宋"/>
        </w:rPr>
        <w:t>、</w:t>
      </w:r>
      <w:r>
        <w:rPr>
          <w:rFonts w:ascii="华文中宋" w:hAnsi="华文中宋" w:eastAsia="华文中宋"/>
        </w:rPr>
        <w:t>科技成果转化法与合作</w:t>
      </w:r>
      <w:r>
        <w:rPr>
          <w:rFonts w:hint="eastAsia" w:ascii="华文中宋" w:hAnsi="华文中宋" w:eastAsia="华文中宋"/>
        </w:rPr>
        <w:t>企业</w:t>
      </w:r>
      <w:r>
        <w:rPr>
          <w:rFonts w:ascii="华文中宋" w:hAnsi="华文中宋" w:eastAsia="华文中宋"/>
        </w:rPr>
        <w:t>签订合同或协议，约定任务分工、资金投入和使用、知识产权归属、权益分配等事项，经费支出按照合同或协议约定执行，</w:t>
      </w:r>
      <w:r>
        <w:rPr>
          <w:rFonts w:hint="eastAsia" w:ascii="华文中宋" w:hAnsi="华文中宋" w:eastAsia="华文中宋"/>
        </w:rPr>
        <w:t>合同或协议必须经本单位审计并报本单位和项目办公室备案。</w:t>
      </w:r>
    </w:p>
    <w:p>
      <w:pPr>
        <w:pStyle w:val="10"/>
        <w:ind w:firstLine="480" w:firstLineChars="200"/>
        <w:rPr>
          <w:rFonts w:ascii="华文中宋" w:hAnsi="华文中宋" w:eastAsia="华文中宋"/>
        </w:rPr>
      </w:pPr>
    </w:p>
    <w:p>
      <w:pPr>
        <w:pStyle w:val="10"/>
        <w:ind w:firstLine="480" w:firstLineChars="200"/>
        <w:rPr>
          <w:rFonts w:ascii="华文中宋" w:hAnsi="华文中宋" w:eastAsia="华文中宋"/>
        </w:rPr>
      </w:pPr>
      <w:r>
        <w:rPr>
          <w:rFonts w:hint="eastAsia" w:ascii="华文中宋" w:hAnsi="华文中宋" w:eastAsia="华文中宋"/>
        </w:rPr>
        <w:t xml:space="preserve">六、科研诚信与责任追究 </w:t>
      </w:r>
    </w:p>
    <w:p>
      <w:pPr>
        <w:pStyle w:val="10"/>
        <w:ind w:firstLine="480" w:firstLineChars="200"/>
        <w:rPr>
          <w:rFonts w:ascii="华文中宋" w:hAnsi="华文中宋" w:eastAsia="华文中宋"/>
        </w:rPr>
      </w:pPr>
      <w:r>
        <w:rPr>
          <w:rFonts w:hint="eastAsia" w:ascii="华文中宋" w:hAnsi="华文中宋" w:eastAsia="华文中宋"/>
        </w:rPr>
        <w:t>第十七条  加强科研信用管理。要根据相关规定，客观、规范地记录课题及任务实施与管理过程中的各类科研信用信息，包括申报过程、实施过程及总结、检查和验收过程中的信用状况；建立严重失信行为记录和报告制度，阶段性或永久性取消相关责任主体的申请或参与项目及课题的资格，并报所在单位和上级部门备案。</w:t>
      </w:r>
    </w:p>
    <w:p>
      <w:pPr>
        <w:pStyle w:val="10"/>
        <w:ind w:firstLine="480" w:firstLineChars="200"/>
        <w:rPr>
          <w:rFonts w:ascii="华文中宋" w:hAnsi="华文中宋" w:eastAsia="华文中宋"/>
        </w:rPr>
      </w:pPr>
      <w:r>
        <w:rPr>
          <w:rFonts w:hint="eastAsia" w:ascii="华文中宋" w:hAnsi="华文中宋" w:eastAsia="华文中宋"/>
        </w:rPr>
        <w:t>第十八条  建立责任追究机制。对在实施过程中失职、渎职，弄虚作假，截留、挪用、挤占、骗取项目资金等行为，按照有关规定追究相关责任人和单位的责任以至依法追究刑事责任。</w:t>
      </w:r>
    </w:p>
    <w:p>
      <w:pPr>
        <w:pStyle w:val="10"/>
        <w:ind w:firstLine="480" w:firstLineChars="200"/>
        <w:rPr>
          <w:rFonts w:ascii="华文中宋" w:hAnsi="华文中宋" w:eastAsia="华文中宋"/>
        </w:rPr>
      </w:pPr>
    </w:p>
    <w:p>
      <w:pPr>
        <w:pStyle w:val="10"/>
        <w:ind w:firstLine="480" w:firstLineChars="200"/>
        <w:rPr>
          <w:rFonts w:ascii="华文中宋" w:hAnsi="华文中宋" w:eastAsia="华文中宋"/>
        </w:rPr>
      </w:pPr>
      <w:r>
        <w:rPr>
          <w:rFonts w:hint="eastAsia" w:ascii="华文中宋" w:hAnsi="华文中宋" w:eastAsia="华文中宋"/>
        </w:rPr>
        <w:t xml:space="preserve">第十九条 </w:t>
      </w:r>
      <w:r>
        <w:rPr>
          <w:rFonts w:ascii="华文中宋" w:hAnsi="华文中宋" w:eastAsia="华文中宋"/>
        </w:rPr>
        <w:t>本</w:t>
      </w:r>
      <w:r>
        <w:rPr>
          <w:rFonts w:hint="eastAsia" w:ascii="华文中宋" w:hAnsi="华文中宋" w:eastAsia="华文中宋"/>
        </w:rPr>
        <w:t>规则</w:t>
      </w:r>
      <w:r>
        <w:rPr>
          <w:rFonts w:ascii="华文中宋" w:hAnsi="华文中宋" w:eastAsia="华文中宋"/>
        </w:rPr>
        <w:t>自</w:t>
      </w:r>
      <w:r>
        <w:rPr>
          <w:rFonts w:hint="eastAsia" w:ascii="华文中宋" w:hAnsi="华文中宋" w:eastAsia="华文中宋"/>
        </w:rPr>
        <w:t>执行专家组通过</w:t>
      </w:r>
      <w:r>
        <w:rPr>
          <w:rFonts w:ascii="华文中宋" w:hAnsi="华文中宋" w:eastAsia="华文中宋"/>
        </w:rPr>
        <w:t>发布之日起实施，各课题参照执行</w:t>
      </w:r>
      <w:r>
        <w:rPr>
          <w:rFonts w:hint="eastAsia" w:ascii="华文中宋" w:hAnsi="华文中宋" w:eastAsia="华文中宋"/>
        </w:rPr>
        <w:t>，</w:t>
      </w:r>
      <w:r>
        <w:rPr>
          <w:rFonts w:ascii="华文中宋" w:hAnsi="华文中宋" w:eastAsia="华文中宋"/>
        </w:rPr>
        <w:t xml:space="preserve">未尽事宜再补充修订。 </w:t>
      </w:r>
    </w:p>
    <w:p>
      <w:pPr>
        <w:pStyle w:val="10"/>
        <w:ind w:firstLine="480" w:firstLineChars="200"/>
        <w:rPr>
          <w:rFonts w:ascii="华文中宋" w:hAnsi="华文中宋" w:eastAsia="华文中宋"/>
        </w:rPr>
      </w:pPr>
    </w:p>
    <w:p>
      <w:pPr>
        <w:pStyle w:val="10"/>
        <w:ind w:firstLine="480" w:firstLineChars="200"/>
        <w:rPr>
          <w:rFonts w:ascii="华文中宋" w:hAnsi="华文中宋" w:eastAsia="华文中宋"/>
        </w:rPr>
      </w:pPr>
    </w:p>
    <w:p>
      <w:pPr>
        <w:pStyle w:val="10"/>
        <w:ind w:firstLine="480" w:firstLineChars="200"/>
        <w:jc w:val="right"/>
        <w:rPr>
          <w:rFonts w:ascii="华文楷体" w:hAnsi="华文楷体" w:eastAsia="华文楷体"/>
        </w:rPr>
      </w:pPr>
      <w:r>
        <w:rPr>
          <w:rFonts w:ascii="华文楷体" w:hAnsi="华文楷体" w:eastAsia="华文楷体"/>
        </w:rPr>
        <w:t>《</w:t>
      </w:r>
      <w:r>
        <w:rPr>
          <w:rFonts w:hint="eastAsia" w:ascii="华文楷体" w:hAnsi="华文楷体" w:eastAsia="华文楷体"/>
        </w:rPr>
        <w:t>柑橘</w:t>
      </w:r>
      <w:r>
        <w:rPr>
          <w:rFonts w:ascii="华文楷体" w:hAnsi="华文楷体" w:eastAsia="华文楷体"/>
        </w:rPr>
        <w:t>化肥农药减施技术集成研究与示范》项目组</w:t>
      </w:r>
    </w:p>
    <w:p>
      <w:pPr>
        <w:pStyle w:val="10"/>
        <w:ind w:firstLine="480" w:firstLineChars="200"/>
        <w:jc w:val="right"/>
        <w:rPr>
          <w:rFonts w:ascii="华文楷体" w:hAnsi="华文楷体" w:eastAsia="华文楷体"/>
        </w:rPr>
      </w:pPr>
      <w:r>
        <w:rPr>
          <w:rFonts w:hint="eastAsia" w:ascii="华文楷体" w:hAnsi="华文楷体" w:eastAsia="华文楷体"/>
        </w:rPr>
        <w:t>华中农业大学代章</w:t>
      </w:r>
    </w:p>
    <w:p>
      <w:pPr>
        <w:pStyle w:val="10"/>
        <w:ind w:firstLine="480" w:firstLineChars="200"/>
        <w:jc w:val="right"/>
        <w:rPr>
          <w:rFonts w:ascii="华文楷体" w:hAnsi="华文楷体" w:eastAsia="华文楷体"/>
        </w:rPr>
      </w:pPr>
      <w:r>
        <w:rPr>
          <w:rFonts w:ascii="华文楷体" w:hAnsi="华文楷体" w:eastAsia="华文楷体"/>
        </w:rPr>
        <w:t xml:space="preserve"> 201</w:t>
      </w:r>
      <w:r>
        <w:rPr>
          <w:rFonts w:hint="eastAsia" w:ascii="华文楷体" w:hAnsi="华文楷体" w:eastAsia="华文楷体"/>
        </w:rPr>
        <w:t>7</w:t>
      </w:r>
      <w:r>
        <w:rPr>
          <w:rFonts w:ascii="华文楷体" w:hAnsi="华文楷体" w:eastAsia="华文楷体"/>
        </w:rPr>
        <w:t>年</w:t>
      </w:r>
      <w:r>
        <w:rPr>
          <w:rFonts w:hint="eastAsia" w:ascii="华文楷体" w:hAnsi="华文楷体" w:eastAsia="华文楷体"/>
        </w:rPr>
        <w:t>9</w:t>
      </w:r>
      <w:r>
        <w:rPr>
          <w:rFonts w:ascii="华文楷体" w:hAnsi="华文楷体" w:eastAsia="华文楷体"/>
        </w:rPr>
        <w:t>月</w:t>
      </w:r>
      <w:r>
        <w:rPr>
          <w:rFonts w:hint="eastAsia" w:ascii="华文楷体" w:hAnsi="华文楷体" w:eastAsia="华文楷体"/>
        </w:rPr>
        <w:t>24</w:t>
      </w:r>
      <w:r>
        <w:rPr>
          <w:rFonts w:ascii="华文楷体" w:hAnsi="华文楷体" w:eastAsia="华文楷体"/>
        </w:rPr>
        <w:t>日</w:t>
      </w:r>
    </w:p>
    <w:p>
      <w:pPr>
        <w:pStyle w:val="10"/>
        <w:ind w:firstLine="480" w:firstLineChars="200"/>
        <w:jc w:val="right"/>
        <w:rPr>
          <w:rFonts w:ascii="华文楷体" w:hAnsi="华文楷体" w:eastAsia="华文楷体"/>
        </w:rPr>
      </w:pPr>
    </w:p>
    <w:p>
      <w:pPr>
        <w:pStyle w:val="10"/>
        <w:ind w:firstLine="480" w:firstLineChars="200"/>
        <w:jc w:val="right"/>
        <w:rPr>
          <w:rFonts w:ascii="华文楷体" w:hAnsi="华文楷体" w:eastAsia="华文楷体"/>
        </w:rPr>
      </w:pPr>
    </w:p>
    <w:p>
      <w:pPr>
        <w:pStyle w:val="10"/>
        <w:ind w:firstLine="480" w:firstLineChars="200"/>
        <w:jc w:val="right"/>
        <w:rPr>
          <w:rFonts w:ascii="华文楷体" w:hAnsi="华文楷体" w:eastAsia="华文楷体"/>
        </w:rPr>
      </w:pPr>
    </w:p>
    <w:p>
      <w:pPr>
        <w:pStyle w:val="10"/>
        <w:ind w:firstLine="480" w:firstLineChars="200"/>
        <w:jc w:val="right"/>
        <w:rPr>
          <w:rFonts w:ascii="华文楷体" w:hAnsi="华文楷体" w:eastAsia="华文楷体"/>
        </w:rPr>
      </w:pPr>
    </w:p>
    <w:p>
      <w:pPr>
        <w:pStyle w:val="10"/>
        <w:ind w:firstLine="480" w:firstLineChars="200"/>
        <w:jc w:val="right"/>
        <w:rPr>
          <w:rFonts w:ascii="华文楷体" w:hAnsi="华文楷体" w:eastAsia="华文楷体"/>
        </w:rPr>
      </w:pPr>
    </w:p>
    <w:p>
      <w:pPr>
        <w:pStyle w:val="10"/>
        <w:ind w:firstLine="480" w:firstLineChars="200"/>
        <w:jc w:val="right"/>
        <w:rPr>
          <w:rFonts w:ascii="华文楷体" w:hAnsi="华文楷体" w:eastAsia="华文楷体"/>
        </w:rPr>
      </w:pPr>
    </w:p>
    <w:p>
      <w:pPr>
        <w:pStyle w:val="10"/>
        <w:ind w:firstLine="480" w:firstLineChars="200"/>
        <w:jc w:val="right"/>
        <w:rPr>
          <w:rFonts w:ascii="华文楷体" w:hAnsi="华文楷体" w:eastAsia="华文楷体"/>
        </w:rPr>
      </w:pPr>
    </w:p>
    <w:p>
      <w:pPr>
        <w:pStyle w:val="10"/>
        <w:ind w:firstLine="480" w:firstLineChars="200"/>
        <w:jc w:val="right"/>
        <w:rPr>
          <w:rFonts w:ascii="华文楷体" w:hAnsi="华文楷体" w:eastAsia="华文楷体"/>
        </w:rPr>
      </w:pPr>
    </w:p>
    <w:p>
      <w:pPr>
        <w:pStyle w:val="10"/>
        <w:ind w:firstLine="480" w:firstLineChars="200"/>
        <w:jc w:val="right"/>
        <w:rPr>
          <w:rFonts w:ascii="华文楷体" w:hAnsi="华文楷体" w:eastAsia="华文楷体"/>
        </w:rPr>
      </w:pPr>
    </w:p>
    <w:p>
      <w:pPr>
        <w:pStyle w:val="10"/>
        <w:ind w:firstLine="480" w:firstLineChars="200"/>
        <w:jc w:val="right"/>
        <w:rPr>
          <w:rFonts w:ascii="华文楷体" w:hAnsi="华文楷体" w:eastAsia="华文楷体"/>
        </w:rPr>
      </w:pPr>
    </w:p>
    <w:p>
      <w:pPr>
        <w:pStyle w:val="10"/>
        <w:ind w:firstLine="480" w:firstLineChars="200"/>
        <w:jc w:val="right"/>
        <w:rPr>
          <w:rFonts w:ascii="华文楷体" w:hAnsi="华文楷体" w:eastAsia="华文楷体"/>
        </w:rPr>
      </w:pPr>
    </w:p>
    <w:p>
      <w:pPr>
        <w:pStyle w:val="10"/>
        <w:ind w:firstLine="480" w:firstLineChars="200"/>
        <w:jc w:val="right"/>
        <w:rPr>
          <w:rFonts w:ascii="华文楷体" w:hAnsi="华文楷体" w:eastAsia="华文楷体"/>
        </w:rPr>
      </w:pPr>
    </w:p>
    <w:p>
      <w:pPr>
        <w:pStyle w:val="10"/>
        <w:ind w:firstLine="480" w:firstLineChars="200"/>
        <w:jc w:val="right"/>
        <w:rPr>
          <w:rFonts w:ascii="华文楷体" w:hAnsi="华文楷体" w:eastAsia="华文楷体"/>
        </w:rPr>
      </w:pPr>
    </w:p>
    <w:p>
      <w:pPr>
        <w:pStyle w:val="10"/>
        <w:ind w:firstLine="480" w:firstLineChars="200"/>
        <w:jc w:val="right"/>
        <w:rPr>
          <w:rFonts w:ascii="华文楷体" w:hAnsi="华文楷体" w:eastAsia="华文楷体"/>
        </w:rPr>
      </w:pPr>
    </w:p>
    <w:p>
      <w:pPr>
        <w:pStyle w:val="10"/>
        <w:ind w:firstLine="480" w:firstLineChars="200"/>
        <w:jc w:val="right"/>
        <w:rPr>
          <w:rFonts w:ascii="华文楷体" w:hAnsi="华文楷体" w:eastAsia="华文楷体"/>
        </w:rPr>
      </w:pPr>
    </w:p>
    <w:p>
      <w:pPr>
        <w:pStyle w:val="10"/>
        <w:ind w:firstLine="480" w:firstLineChars="200"/>
        <w:jc w:val="right"/>
        <w:rPr>
          <w:rFonts w:ascii="华文楷体" w:hAnsi="华文楷体" w:eastAsia="华文楷体"/>
        </w:rPr>
      </w:pPr>
    </w:p>
    <w:p>
      <w:pPr>
        <w:pStyle w:val="10"/>
        <w:ind w:firstLine="480" w:firstLineChars="200"/>
        <w:jc w:val="right"/>
        <w:rPr>
          <w:rFonts w:ascii="华文楷体" w:hAnsi="华文楷体" w:eastAsia="华文楷体"/>
        </w:rPr>
      </w:pPr>
    </w:p>
    <w:p>
      <w:pPr>
        <w:pStyle w:val="10"/>
        <w:jc w:val="both"/>
        <w:rPr>
          <w:rFonts w:ascii="华文楷体" w:hAnsi="华文楷体" w:eastAsia="华文楷体"/>
        </w:rPr>
      </w:pPr>
    </w:p>
    <w:p>
      <w:pPr>
        <w:pStyle w:val="10"/>
        <w:ind w:firstLine="480" w:firstLineChars="200"/>
        <w:jc w:val="right"/>
        <w:rPr>
          <w:rFonts w:ascii="华文楷体" w:hAnsi="华文楷体" w:eastAsia="华文楷体"/>
        </w:rPr>
      </w:pPr>
    </w:p>
    <w:p>
      <w:pPr>
        <w:pStyle w:val="10"/>
        <w:rPr>
          <w:rFonts w:hint="default" w:ascii="Times New Roman" w:hAnsi="Times New Roman" w:eastAsia="华文楷体" w:cs="Times New Roman"/>
        </w:rPr>
      </w:pPr>
      <w:r>
        <w:rPr>
          <w:rFonts w:hint="default" w:ascii="Times New Roman" w:hAnsi="Times New Roman" w:eastAsia="华文楷体" w:cs="Times New Roman"/>
        </w:rPr>
        <w:t>附件1</w:t>
      </w:r>
    </w:p>
    <w:p>
      <w:pPr>
        <w:pStyle w:val="10"/>
        <w:jc w:val="center"/>
        <w:rPr>
          <w:rFonts w:ascii="华文中宋" w:hAnsi="华文中宋" w:eastAsia="华文中宋"/>
          <w:sz w:val="28"/>
          <w:szCs w:val="28"/>
        </w:rPr>
      </w:pPr>
      <w:r>
        <w:rPr>
          <w:rFonts w:hint="eastAsia" w:ascii="华文中宋" w:hAnsi="华文中宋" w:eastAsia="华文中宋"/>
          <w:sz w:val="28"/>
          <w:szCs w:val="28"/>
        </w:rPr>
        <w:t>“化学肥料和农药减施增效综合技术研发”试点专项2017年度项目申报指南编制专家名单</w:t>
      </w:r>
    </w:p>
    <w:p>
      <w:pPr>
        <w:pStyle w:val="10"/>
        <w:ind w:firstLine="480" w:firstLineChars="200"/>
        <w:rPr>
          <w:rFonts w:ascii="华文楷体" w:hAnsi="华文楷体" w:eastAsia="华文楷体"/>
        </w:rPr>
      </w:pPr>
    </w:p>
    <w:p>
      <w:pPr>
        <w:pStyle w:val="10"/>
        <w:ind w:firstLine="480" w:firstLineChars="200"/>
        <w:rPr>
          <w:rFonts w:ascii="华文楷体" w:hAnsi="华文楷体" w:eastAsia="华文楷体"/>
        </w:rPr>
      </w:pPr>
      <w:r>
        <w:rPr>
          <w:rFonts w:ascii="华文楷体" w:hAnsi="华文楷体" w:eastAsia="华文楷体"/>
        </w:rPr>
        <w:t>1</w:t>
      </w:r>
      <w:r>
        <w:rPr>
          <w:rFonts w:hint="eastAsia" w:ascii="华文楷体" w:hAnsi="华文楷体" w:eastAsia="华文楷体"/>
        </w:rPr>
        <w:t>.吴孔明，中国农业科学院，研究员；</w:t>
      </w:r>
      <w:bookmarkStart w:id="2" w:name="_GoBack"/>
      <w:bookmarkEnd w:id="2"/>
    </w:p>
    <w:p>
      <w:pPr>
        <w:pStyle w:val="10"/>
        <w:ind w:firstLine="480" w:firstLineChars="200"/>
        <w:rPr>
          <w:rFonts w:ascii="华文楷体" w:hAnsi="华文楷体" w:eastAsia="华文楷体"/>
        </w:rPr>
      </w:pPr>
      <w:r>
        <w:rPr>
          <w:rFonts w:ascii="华文楷体" w:hAnsi="华文楷体" w:eastAsia="华文楷体"/>
        </w:rPr>
        <w:t>2</w:t>
      </w:r>
      <w:r>
        <w:rPr>
          <w:rFonts w:hint="eastAsia" w:ascii="华文楷体" w:hAnsi="华文楷体" w:eastAsia="华文楷体"/>
        </w:rPr>
        <w:t>.张佳宝，中国科学院南京土壤研究所，研究员；</w:t>
      </w:r>
    </w:p>
    <w:p>
      <w:pPr>
        <w:pStyle w:val="10"/>
        <w:ind w:firstLine="480" w:firstLineChars="200"/>
        <w:rPr>
          <w:rFonts w:ascii="华文楷体" w:hAnsi="华文楷体" w:eastAsia="华文楷体"/>
        </w:rPr>
      </w:pPr>
      <w:r>
        <w:rPr>
          <w:rFonts w:ascii="华文楷体" w:hAnsi="华文楷体" w:eastAsia="华文楷体"/>
        </w:rPr>
        <w:t>3</w:t>
      </w:r>
      <w:r>
        <w:rPr>
          <w:rFonts w:hint="eastAsia" w:ascii="华文楷体" w:hAnsi="华文楷体" w:eastAsia="华文楷体"/>
        </w:rPr>
        <w:t>.张福锁，中国农业大学，教 授；</w:t>
      </w:r>
    </w:p>
    <w:p>
      <w:pPr>
        <w:pStyle w:val="10"/>
        <w:ind w:firstLine="480" w:firstLineChars="200"/>
        <w:rPr>
          <w:rFonts w:ascii="华文楷体" w:hAnsi="华文楷体" w:eastAsia="华文楷体"/>
        </w:rPr>
      </w:pPr>
      <w:r>
        <w:rPr>
          <w:rFonts w:ascii="华文楷体" w:hAnsi="华文楷体" w:eastAsia="华文楷体"/>
        </w:rPr>
        <w:t>4</w:t>
      </w:r>
      <w:r>
        <w:rPr>
          <w:rFonts w:hint="eastAsia" w:ascii="华文楷体" w:hAnsi="华文楷体" w:eastAsia="华文楷体"/>
        </w:rPr>
        <w:t>.郑永权，中国农业科学院植物保护研究所，研究员；</w:t>
      </w:r>
    </w:p>
    <w:p>
      <w:pPr>
        <w:pStyle w:val="10"/>
        <w:ind w:firstLine="480" w:firstLineChars="200"/>
        <w:rPr>
          <w:rFonts w:ascii="华文楷体" w:hAnsi="华文楷体" w:eastAsia="华文楷体"/>
        </w:rPr>
      </w:pPr>
      <w:r>
        <w:rPr>
          <w:rFonts w:ascii="华文楷体" w:hAnsi="华文楷体" w:eastAsia="华文楷体"/>
        </w:rPr>
        <w:t>5</w:t>
      </w:r>
      <w:r>
        <w:rPr>
          <w:rFonts w:hint="eastAsia" w:ascii="华文楷体" w:hAnsi="华文楷体" w:eastAsia="华文楷体"/>
        </w:rPr>
        <w:t>.香  宝，中国环境科学研究院，研究员；</w:t>
      </w:r>
    </w:p>
    <w:p>
      <w:pPr>
        <w:pStyle w:val="10"/>
        <w:ind w:firstLine="480" w:firstLineChars="200"/>
        <w:rPr>
          <w:rFonts w:ascii="华文楷体" w:hAnsi="华文楷体" w:eastAsia="华文楷体"/>
        </w:rPr>
      </w:pPr>
      <w:r>
        <w:rPr>
          <w:rFonts w:ascii="华文楷体" w:hAnsi="华文楷体" w:eastAsia="华文楷体"/>
        </w:rPr>
        <w:t>6</w:t>
      </w:r>
      <w:r>
        <w:rPr>
          <w:rFonts w:hint="eastAsia" w:ascii="华文楷体" w:hAnsi="华文楷体" w:eastAsia="华文楷体"/>
        </w:rPr>
        <w:t>.刘宏斌，中国农业科学院农业资源与农业区划研究所，研究员；</w:t>
      </w:r>
    </w:p>
    <w:p>
      <w:pPr>
        <w:pStyle w:val="10"/>
        <w:ind w:firstLine="480" w:firstLineChars="200"/>
        <w:rPr>
          <w:rFonts w:hint="eastAsia" w:ascii="华文楷体" w:hAnsi="华文楷体" w:eastAsia="华文楷体"/>
        </w:rPr>
      </w:pPr>
      <w:r>
        <w:rPr>
          <w:rFonts w:ascii="华文楷体" w:hAnsi="华文楷体" w:eastAsia="华文楷体"/>
        </w:rPr>
        <w:t>7</w:t>
      </w:r>
      <w:r>
        <w:rPr>
          <w:rFonts w:hint="eastAsia" w:ascii="华文楷体" w:hAnsi="华文楷体" w:eastAsia="华文楷体"/>
        </w:rPr>
        <w:t>.张贵龙，农业部环境保护科研监测所，副研究员。</w:t>
      </w:r>
    </w:p>
    <w:p>
      <w:pPr>
        <w:pStyle w:val="10"/>
        <w:ind w:firstLine="480" w:firstLineChars="200"/>
        <w:rPr>
          <w:rFonts w:hint="eastAsia" w:ascii="华文楷体" w:hAnsi="华文楷体" w:eastAsia="华文楷体"/>
        </w:rPr>
      </w:pPr>
    </w:p>
    <w:p>
      <w:pPr>
        <w:pStyle w:val="10"/>
        <w:ind w:firstLine="480" w:firstLineChars="200"/>
        <w:rPr>
          <w:rFonts w:ascii="华文楷体" w:hAnsi="华文楷体" w:eastAsia="华文楷体"/>
        </w:rPr>
      </w:pPr>
    </w:p>
    <w:p>
      <w:pPr>
        <w:pStyle w:val="10"/>
        <w:ind w:firstLine="480" w:firstLineChars="200"/>
        <w:rPr>
          <w:rFonts w:ascii="华文楷体" w:hAnsi="华文楷体" w:eastAsia="华文楷体"/>
        </w:rPr>
      </w:pPr>
    </w:p>
    <w:p>
      <w:pPr>
        <w:pStyle w:val="10"/>
        <w:rPr>
          <w:rFonts w:ascii="华文楷体" w:hAnsi="华文楷体" w:eastAsia="华文楷体"/>
        </w:rPr>
      </w:pPr>
    </w:p>
    <w:p>
      <w:pPr>
        <w:pStyle w:val="10"/>
        <w:ind w:firstLine="480" w:firstLineChars="200"/>
        <w:rPr>
          <w:rFonts w:hint="default" w:ascii="Times New Roman" w:hAnsi="Times New Roman" w:eastAsia="华文楷体" w:cs="Times New Roman"/>
        </w:rPr>
      </w:pPr>
    </w:p>
    <w:p>
      <w:pPr>
        <w:pStyle w:val="10"/>
        <w:rPr>
          <w:rFonts w:hint="default" w:ascii="Times New Roman" w:hAnsi="Times New Roman" w:eastAsia="华文楷体" w:cs="Times New Roman"/>
        </w:rPr>
      </w:pPr>
      <w:r>
        <w:rPr>
          <w:rFonts w:hint="default" w:ascii="Times New Roman" w:hAnsi="Times New Roman" w:eastAsia="华文楷体" w:cs="Times New Roman"/>
        </w:rPr>
        <w:t>附件2</w:t>
      </w:r>
    </w:p>
    <w:p>
      <w:pPr>
        <w:pStyle w:val="10"/>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outlineLvl w:val="9"/>
        <w:rPr>
          <w:rFonts w:hint="eastAsia" w:ascii="华文中宋" w:hAnsi="华文中宋" w:eastAsia="华文中宋"/>
          <w:sz w:val="28"/>
          <w:szCs w:val="28"/>
        </w:rPr>
      </w:pPr>
      <w:r>
        <w:rPr>
          <w:rFonts w:hint="eastAsia" w:ascii="华文中宋" w:hAnsi="华文中宋" w:eastAsia="华文中宋"/>
          <w:sz w:val="28"/>
          <w:szCs w:val="28"/>
        </w:rPr>
        <w:t>“柑橘化肥农药减施技术集成研究与示范”项目咨询专家组名单</w:t>
      </w:r>
    </w:p>
    <w:p>
      <w:pPr>
        <w:pStyle w:val="10"/>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jc w:val="center"/>
        <w:textAlignment w:val="auto"/>
        <w:outlineLvl w:val="9"/>
        <w:rPr>
          <w:rFonts w:hint="eastAsia" w:ascii="华文中宋" w:hAnsi="华文中宋" w:eastAsia="华文中宋"/>
          <w:sz w:val="28"/>
          <w:szCs w:val="28"/>
        </w:rPr>
      </w:pPr>
    </w:p>
    <w:p>
      <w:pPr>
        <w:pStyle w:val="10"/>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480" w:firstLineChars="200"/>
        <w:textAlignment w:val="auto"/>
        <w:outlineLvl w:val="9"/>
        <w:rPr>
          <w:rFonts w:ascii="华文楷体" w:hAnsi="华文楷体" w:eastAsia="华文楷体"/>
        </w:rPr>
      </w:pPr>
      <w:r>
        <w:rPr>
          <w:rFonts w:ascii="华文楷体" w:hAnsi="华文楷体" w:eastAsia="华文楷体"/>
        </w:rPr>
        <w:t>1</w:t>
      </w:r>
      <w:r>
        <w:rPr>
          <w:rFonts w:hint="eastAsia" w:ascii="华文楷体" w:hAnsi="华文楷体" w:eastAsia="华文楷体"/>
        </w:rPr>
        <w:t>.邓秀新，华中农业大学，教授、院士</w:t>
      </w:r>
    </w:p>
    <w:p>
      <w:pPr>
        <w:pStyle w:val="10"/>
        <w:ind w:firstLine="480" w:firstLineChars="200"/>
        <w:rPr>
          <w:rFonts w:ascii="华文楷体" w:hAnsi="华文楷体" w:eastAsia="华文楷体"/>
        </w:rPr>
      </w:pPr>
      <w:r>
        <w:rPr>
          <w:rFonts w:ascii="华文楷体" w:hAnsi="华文楷体" w:eastAsia="华文楷体"/>
        </w:rPr>
        <w:t>2</w:t>
      </w:r>
      <w:r>
        <w:rPr>
          <w:rFonts w:hint="eastAsia" w:ascii="华文楷体" w:hAnsi="华文楷体" w:eastAsia="华文楷体"/>
        </w:rPr>
        <w:t>.周  卫，中国农业科学院农业资源与农业区划研究所，研究员</w:t>
      </w:r>
    </w:p>
    <w:p>
      <w:pPr>
        <w:pStyle w:val="10"/>
        <w:ind w:firstLine="480" w:firstLineChars="200"/>
        <w:rPr>
          <w:rFonts w:ascii="华文楷体" w:hAnsi="华文楷体" w:eastAsia="华文楷体"/>
        </w:rPr>
      </w:pPr>
      <w:r>
        <w:rPr>
          <w:rFonts w:ascii="华文楷体" w:hAnsi="华文楷体" w:eastAsia="华文楷体"/>
        </w:rPr>
        <w:t>3</w:t>
      </w:r>
      <w:r>
        <w:rPr>
          <w:rFonts w:hint="eastAsia" w:ascii="华文楷体" w:hAnsi="华文楷体" w:eastAsia="华文楷体"/>
        </w:rPr>
        <w:t>.周常勇，西南大学，教授</w:t>
      </w:r>
    </w:p>
    <w:p>
      <w:pPr>
        <w:pStyle w:val="10"/>
        <w:ind w:firstLine="480" w:firstLineChars="200"/>
        <w:rPr>
          <w:rFonts w:ascii="华文楷体" w:hAnsi="华文楷体" w:eastAsia="华文楷体"/>
        </w:rPr>
      </w:pPr>
      <w:r>
        <w:rPr>
          <w:rFonts w:ascii="华文楷体" w:hAnsi="华文楷体" w:eastAsia="华文楷体"/>
        </w:rPr>
        <w:t>4</w:t>
      </w:r>
      <w:r>
        <w:rPr>
          <w:rFonts w:hint="eastAsia" w:ascii="华文楷体" w:hAnsi="华文楷体" w:eastAsia="华文楷体"/>
        </w:rPr>
        <w:t>.樊小林，华南农业大学，教授</w:t>
      </w:r>
    </w:p>
    <w:p>
      <w:pPr>
        <w:pStyle w:val="10"/>
        <w:ind w:firstLine="480" w:firstLineChars="200"/>
        <w:rPr>
          <w:rFonts w:ascii="华文楷体" w:hAnsi="华文楷体" w:eastAsia="华文楷体"/>
        </w:rPr>
      </w:pPr>
      <w:r>
        <w:rPr>
          <w:rFonts w:ascii="华文楷体" w:hAnsi="华文楷体" w:eastAsia="华文楷体"/>
        </w:rPr>
        <w:t>5</w:t>
      </w:r>
      <w:r>
        <w:rPr>
          <w:rFonts w:hint="eastAsia" w:ascii="华文楷体" w:hAnsi="华文楷体" w:eastAsia="华文楷体"/>
        </w:rPr>
        <w:t>.喻大昭，湖北省农科院，研究员</w:t>
      </w:r>
    </w:p>
    <w:p>
      <w:pPr>
        <w:pStyle w:val="10"/>
        <w:ind w:firstLine="480" w:firstLineChars="200"/>
        <w:rPr>
          <w:rFonts w:ascii="华文楷体" w:hAnsi="华文楷体" w:eastAsia="华文楷体"/>
        </w:rPr>
      </w:pPr>
      <w:r>
        <w:rPr>
          <w:rFonts w:ascii="华文楷体" w:hAnsi="华文楷体" w:eastAsia="华文楷体"/>
        </w:rPr>
        <w:t>6</w:t>
      </w:r>
      <w:r>
        <w:rPr>
          <w:rFonts w:hint="eastAsia" w:ascii="华文楷体" w:hAnsi="华文楷体" w:eastAsia="华文楷体"/>
        </w:rPr>
        <w:t>.魏文学，中国科学院亚热带农业生态研究所，研究员</w:t>
      </w:r>
    </w:p>
    <w:p>
      <w:pPr>
        <w:pStyle w:val="10"/>
        <w:ind w:firstLine="480" w:firstLineChars="200"/>
        <w:rPr>
          <w:rFonts w:hint="eastAsia" w:ascii="华文楷体" w:hAnsi="华文楷体" w:eastAsia="华文楷体"/>
        </w:rPr>
      </w:pPr>
      <w:r>
        <w:rPr>
          <w:rFonts w:ascii="华文楷体" w:hAnsi="华文楷体" w:eastAsia="华文楷体"/>
        </w:rPr>
        <w:t>7</w:t>
      </w:r>
      <w:r>
        <w:rPr>
          <w:rFonts w:hint="eastAsia" w:ascii="华文楷体" w:hAnsi="华文楷体" w:eastAsia="华文楷体"/>
        </w:rPr>
        <w:t>.胡承孝，华中农业大学，教授</w:t>
      </w:r>
    </w:p>
    <w:p>
      <w:pPr>
        <w:pStyle w:val="10"/>
        <w:ind w:firstLine="480" w:firstLineChars="200"/>
        <w:rPr>
          <w:rFonts w:hint="eastAsia" w:ascii="华文楷体" w:hAnsi="华文楷体" w:eastAsia="华文楷体"/>
        </w:rPr>
      </w:pPr>
    </w:p>
    <w:p>
      <w:pPr>
        <w:pStyle w:val="10"/>
        <w:ind w:firstLine="480" w:firstLineChars="200"/>
        <w:rPr>
          <w:rFonts w:hint="eastAsia" w:ascii="华文楷体" w:hAnsi="华文楷体" w:eastAsia="华文楷体"/>
        </w:rPr>
      </w:pPr>
    </w:p>
    <w:p>
      <w:pPr>
        <w:pStyle w:val="10"/>
        <w:ind w:firstLine="480" w:firstLineChars="200"/>
        <w:rPr>
          <w:rFonts w:hint="eastAsia" w:ascii="华文楷体" w:hAnsi="华文楷体" w:eastAsia="华文楷体"/>
        </w:rPr>
      </w:pPr>
    </w:p>
    <w:p>
      <w:pPr>
        <w:pStyle w:val="10"/>
        <w:ind w:firstLine="480" w:firstLineChars="200"/>
        <w:rPr>
          <w:rFonts w:hint="eastAsia" w:ascii="华文楷体" w:hAnsi="华文楷体" w:eastAsia="华文楷体"/>
        </w:rPr>
      </w:pPr>
    </w:p>
    <w:p>
      <w:pPr>
        <w:pStyle w:val="10"/>
        <w:ind w:firstLine="480" w:firstLineChars="200"/>
        <w:rPr>
          <w:rFonts w:hint="eastAsia" w:ascii="华文楷体" w:hAnsi="华文楷体" w:eastAsia="华文楷体"/>
        </w:rPr>
      </w:pPr>
    </w:p>
    <w:p>
      <w:pPr>
        <w:pStyle w:val="10"/>
        <w:ind w:firstLine="480" w:firstLineChars="200"/>
        <w:rPr>
          <w:rFonts w:hint="eastAsia" w:ascii="华文楷体" w:hAnsi="华文楷体" w:eastAsia="华文楷体"/>
        </w:rPr>
      </w:pPr>
    </w:p>
    <w:p>
      <w:pPr>
        <w:pStyle w:val="10"/>
        <w:ind w:firstLine="480" w:firstLineChars="200"/>
        <w:rPr>
          <w:rFonts w:hint="eastAsia" w:ascii="华文楷体" w:hAnsi="华文楷体" w:eastAsia="华文楷体"/>
        </w:rPr>
      </w:pPr>
    </w:p>
    <w:p>
      <w:pPr>
        <w:pStyle w:val="10"/>
        <w:ind w:firstLine="480" w:firstLineChars="200"/>
        <w:rPr>
          <w:rFonts w:hint="eastAsia" w:ascii="华文楷体" w:hAnsi="华文楷体" w:eastAsia="华文楷体"/>
        </w:rPr>
      </w:pPr>
    </w:p>
    <w:p>
      <w:pPr>
        <w:pStyle w:val="10"/>
        <w:ind w:firstLine="480" w:firstLineChars="200"/>
        <w:rPr>
          <w:rFonts w:hint="eastAsia" w:ascii="华文楷体" w:hAnsi="华文楷体" w:eastAsia="华文楷体"/>
        </w:rPr>
      </w:pPr>
    </w:p>
    <w:p>
      <w:pPr>
        <w:pStyle w:val="10"/>
        <w:ind w:firstLine="480" w:firstLineChars="200"/>
        <w:rPr>
          <w:rFonts w:hint="eastAsia" w:ascii="华文楷体" w:hAnsi="华文楷体" w:eastAsia="华文楷体"/>
        </w:rPr>
      </w:pPr>
    </w:p>
    <w:p>
      <w:pPr>
        <w:pStyle w:val="10"/>
        <w:ind w:firstLine="480" w:firstLineChars="200"/>
        <w:rPr>
          <w:rFonts w:hint="eastAsia" w:ascii="华文楷体" w:hAnsi="华文楷体" w:eastAsia="华文楷体"/>
        </w:rPr>
      </w:pPr>
    </w:p>
    <w:p>
      <w:pPr>
        <w:pStyle w:val="10"/>
        <w:ind w:firstLine="480" w:firstLineChars="200"/>
        <w:rPr>
          <w:rFonts w:hint="eastAsia" w:ascii="华文楷体" w:hAnsi="华文楷体" w:eastAsia="华文楷体"/>
        </w:rPr>
      </w:pPr>
    </w:p>
    <w:p>
      <w:pPr>
        <w:pStyle w:val="10"/>
        <w:ind w:firstLine="480" w:firstLineChars="200"/>
        <w:rPr>
          <w:rFonts w:hint="eastAsia" w:ascii="华文楷体" w:hAnsi="华文楷体" w:eastAsia="华文楷体"/>
        </w:rPr>
      </w:pPr>
    </w:p>
    <w:p>
      <w:pPr>
        <w:pStyle w:val="10"/>
        <w:ind w:firstLine="480" w:firstLineChars="200"/>
        <w:rPr>
          <w:rFonts w:hint="eastAsia" w:ascii="华文楷体" w:hAnsi="华文楷体" w:eastAsia="华文楷体"/>
        </w:rPr>
      </w:pPr>
      <w:r>
        <w:rPr>
          <w:rFonts w:hint="eastAsia" w:ascii="华文楷体" w:hAnsi="华文楷体" w:eastAsia="华文楷体"/>
        </w:rPr>
        <w:br w:type="page"/>
      </w:r>
    </w:p>
    <w:p>
      <w:pPr>
        <w:pStyle w:val="10"/>
        <w:rPr>
          <w:rFonts w:ascii="华文楷体" w:hAnsi="华文楷体" w:eastAsia="华文楷体"/>
        </w:rPr>
      </w:pPr>
    </w:p>
    <w:p>
      <w:pPr>
        <w:pStyle w:val="10"/>
        <w:rPr>
          <w:rFonts w:hint="default" w:ascii="Times New Roman" w:hAnsi="Times New Roman" w:eastAsia="华文楷体" w:cs="Times New Roman"/>
        </w:rPr>
      </w:pPr>
      <w:r>
        <w:rPr>
          <w:rFonts w:hint="default" w:ascii="Times New Roman" w:hAnsi="Times New Roman" w:eastAsia="华文楷体" w:cs="Times New Roman"/>
        </w:rPr>
        <w:t>附件3</w:t>
      </w:r>
    </w:p>
    <w:p>
      <w:pPr>
        <w:pStyle w:val="10"/>
        <w:ind w:firstLine="560" w:firstLineChars="200"/>
        <w:rPr>
          <w:rFonts w:ascii="华文楷体" w:hAnsi="华文楷体" w:eastAsia="华文楷体"/>
        </w:rPr>
      </w:pPr>
      <w:r>
        <w:rPr>
          <w:rFonts w:hint="eastAsia" w:ascii="华文中宋" w:hAnsi="华文中宋" w:eastAsia="华文中宋"/>
          <w:sz w:val="28"/>
          <w:szCs w:val="28"/>
        </w:rPr>
        <w:t>“柑橘化肥农药减施技术集成研究与示范”项目执行专家组成员</w:t>
      </w:r>
    </w:p>
    <w:p>
      <w:pPr>
        <w:pStyle w:val="10"/>
        <w:ind w:firstLine="480" w:firstLineChars="200"/>
        <w:rPr>
          <w:rFonts w:ascii="华文楷体" w:hAnsi="华文楷体" w:eastAsia="华文楷体"/>
        </w:rPr>
      </w:pPr>
    </w:p>
    <w:p>
      <w:pPr>
        <w:pStyle w:val="10"/>
        <w:ind w:firstLine="480" w:firstLineChars="200"/>
        <w:rPr>
          <w:rFonts w:ascii="华文楷体" w:hAnsi="华文楷体" w:eastAsia="华文楷体"/>
        </w:rPr>
      </w:pPr>
      <w:r>
        <w:rPr>
          <w:rFonts w:hint="eastAsia" w:ascii="华文楷体" w:hAnsi="华文楷体" w:eastAsia="华文楷体"/>
        </w:rPr>
        <w:t>1.胡承孝，华中农业大学，教授</w:t>
      </w:r>
    </w:p>
    <w:p>
      <w:pPr>
        <w:pStyle w:val="10"/>
        <w:ind w:firstLine="480" w:firstLineChars="200"/>
        <w:rPr>
          <w:rFonts w:ascii="华文楷体" w:hAnsi="华文楷体" w:eastAsia="华文楷体"/>
        </w:rPr>
      </w:pPr>
      <w:r>
        <w:rPr>
          <w:rFonts w:hint="eastAsia" w:ascii="华文楷体" w:hAnsi="华文楷体" w:eastAsia="华文楷体"/>
        </w:rPr>
        <w:t>2.彭抒昂，华中农业大学，教授</w:t>
      </w:r>
    </w:p>
    <w:p>
      <w:pPr>
        <w:pStyle w:val="10"/>
        <w:ind w:firstLine="480" w:firstLineChars="200"/>
        <w:rPr>
          <w:rFonts w:ascii="华文楷体" w:hAnsi="华文楷体" w:eastAsia="华文楷体"/>
        </w:rPr>
      </w:pPr>
      <w:r>
        <w:rPr>
          <w:rFonts w:hint="eastAsia" w:ascii="华文楷体" w:hAnsi="华文楷体" w:eastAsia="华文楷体"/>
        </w:rPr>
        <w:t>3.豆  威，西南大学，副教授</w:t>
      </w:r>
    </w:p>
    <w:p>
      <w:pPr>
        <w:pStyle w:val="10"/>
        <w:ind w:firstLine="480" w:firstLineChars="200"/>
        <w:rPr>
          <w:rFonts w:ascii="华文楷体" w:hAnsi="华文楷体" w:eastAsia="华文楷体"/>
        </w:rPr>
      </w:pPr>
      <w:r>
        <w:rPr>
          <w:rFonts w:hint="eastAsia" w:ascii="华文楷体" w:hAnsi="华文楷体" w:eastAsia="华文楷体"/>
        </w:rPr>
        <w:t>4.张宏宇，华中农业大学，教授</w:t>
      </w:r>
    </w:p>
    <w:p>
      <w:pPr>
        <w:pStyle w:val="10"/>
        <w:ind w:firstLine="480" w:firstLineChars="200"/>
        <w:rPr>
          <w:rFonts w:ascii="华文楷体" w:hAnsi="华文楷体" w:eastAsia="华文楷体"/>
        </w:rPr>
      </w:pPr>
      <w:r>
        <w:rPr>
          <w:rFonts w:hint="eastAsia" w:ascii="华文楷体" w:hAnsi="华文楷体" w:eastAsia="华文楷体"/>
        </w:rPr>
        <w:t>5.陈国庆，浙江省柑橘研究所，研究员</w:t>
      </w:r>
    </w:p>
    <w:p>
      <w:pPr>
        <w:pStyle w:val="10"/>
        <w:ind w:firstLine="480" w:firstLineChars="200"/>
        <w:rPr>
          <w:rFonts w:ascii="华文楷体" w:hAnsi="华文楷体" w:eastAsia="华文楷体"/>
        </w:rPr>
      </w:pPr>
      <w:r>
        <w:rPr>
          <w:rFonts w:hint="eastAsia" w:ascii="华文楷体" w:hAnsi="华文楷体" w:eastAsia="华文楷体"/>
        </w:rPr>
        <w:t>6.钟广炎，广东省农科院果树所，研究员</w:t>
      </w:r>
    </w:p>
    <w:p>
      <w:pPr>
        <w:pStyle w:val="10"/>
        <w:ind w:firstLine="480" w:firstLineChars="200"/>
        <w:rPr>
          <w:rFonts w:ascii="华文楷体" w:hAnsi="华文楷体" w:eastAsia="华文楷体"/>
        </w:rPr>
      </w:pPr>
      <w:r>
        <w:rPr>
          <w:rFonts w:hint="eastAsia" w:ascii="华文楷体" w:hAnsi="华文楷体" w:eastAsia="华文楷体"/>
        </w:rPr>
        <w:t>7.彭良志，中国农科院柑橘研究所，研究员</w:t>
      </w:r>
    </w:p>
    <w:p>
      <w:pPr>
        <w:pStyle w:val="10"/>
        <w:ind w:firstLine="480" w:firstLineChars="200"/>
        <w:rPr>
          <w:rFonts w:ascii="华文楷体" w:hAnsi="华文楷体" w:eastAsia="华文楷体"/>
        </w:rPr>
      </w:pPr>
    </w:p>
    <w:p>
      <w:pPr>
        <w:pStyle w:val="10"/>
        <w:ind w:firstLine="480" w:firstLineChars="200"/>
        <w:rPr>
          <w:rFonts w:ascii="华文楷体" w:hAnsi="华文楷体" w:eastAsia="华文楷体"/>
        </w:rPr>
      </w:pPr>
    </w:p>
    <w:p>
      <w:pPr>
        <w:pStyle w:val="10"/>
        <w:ind w:firstLine="480" w:firstLineChars="200"/>
        <w:rPr>
          <w:rFonts w:ascii="华文楷体" w:hAnsi="华文楷体" w:eastAsia="华文楷体"/>
        </w:rPr>
      </w:pPr>
    </w:p>
    <w:p>
      <w:pPr>
        <w:pStyle w:val="10"/>
        <w:ind w:firstLine="480" w:firstLineChars="200"/>
        <w:rPr>
          <w:rFonts w:ascii="华文楷体" w:hAnsi="华文楷体" w:eastAsia="华文楷体"/>
        </w:rPr>
      </w:pPr>
    </w:p>
    <w:p>
      <w:pPr>
        <w:pStyle w:val="10"/>
        <w:ind w:firstLine="480" w:firstLineChars="200"/>
        <w:rPr>
          <w:rFonts w:ascii="华文楷体" w:hAnsi="华文楷体" w:eastAsia="华文楷体"/>
        </w:rPr>
      </w:pPr>
    </w:p>
    <w:p>
      <w:pPr>
        <w:pStyle w:val="10"/>
        <w:rPr>
          <w:rFonts w:hint="default" w:ascii="Times New Roman" w:hAnsi="Times New Roman" w:eastAsia="华文楷体" w:cs="Times New Roman"/>
        </w:rPr>
      </w:pPr>
    </w:p>
    <w:p>
      <w:pPr>
        <w:pStyle w:val="10"/>
        <w:rPr>
          <w:rFonts w:hint="default" w:ascii="Times New Roman" w:hAnsi="Times New Roman" w:eastAsia="华文楷体" w:cs="Times New Roman"/>
        </w:rPr>
      </w:pPr>
      <w:r>
        <w:rPr>
          <w:rFonts w:hint="default" w:ascii="Times New Roman" w:hAnsi="Times New Roman" w:eastAsia="华文楷体" w:cs="Times New Roman"/>
        </w:rPr>
        <w:t>附件4</w:t>
      </w:r>
    </w:p>
    <w:p>
      <w:pPr>
        <w:pStyle w:val="10"/>
        <w:ind w:firstLine="560" w:firstLineChars="200"/>
        <w:rPr>
          <w:rFonts w:ascii="华文楷体" w:hAnsi="华文楷体" w:eastAsia="华文楷体"/>
        </w:rPr>
      </w:pPr>
      <w:r>
        <w:rPr>
          <w:rFonts w:hint="eastAsia" w:ascii="华文中宋" w:hAnsi="华文中宋" w:eastAsia="华文中宋"/>
          <w:sz w:val="28"/>
          <w:szCs w:val="28"/>
        </w:rPr>
        <w:t>“柑橘化肥农药减施技术集成研究与示范”项目办公室成员</w:t>
      </w:r>
    </w:p>
    <w:p>
      <w:pPr>
        <w:pStyle w:val="10"/>
        <w:ind w:firstLine="480" w:firstLineChars="200"/>
        <w:rPr>
          <w:rFonts w:ascii="华文楷体" w:hAnsi="华文楷体" w:eastAsia="华文楷体"/>
        </w:rPr>
      </w:pPr>
    </w:p>
    <w:p>
      <w:pPr>
        <w:pStyle w:val="10"/>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480" w:firstLineChars="200"/>
        <w:jc w:val="left"/>
        <w:textAlignment w:val="auto"/>
        <w:outlineLvl w:val="9"/>
        <w:rPr>
          <w:rFonts w:ascii="华文楷体" w:hAnsi="华文楷体" w:eastAsia="华文楷体"/>
        </w:rPr>
      </w:pPr>
      <w:r>
        <w:rPr>
          <w:rFonts w:hint="eastAsia" w:ascii="华文楷体" w:hAnsi="华文楷体" w:eastAsia="华文楷体"/>
        </w:rPr>
        <w:t>谭启玲，办公室主任，项目财务牵头人、总体协调，各课题负责单位各派1人配合；</w:t>
      </w:r>
    </w:p>
    <w:p>
      <w:pPr>
        <w:pStyle w:val="10"/>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480" w:firstLineChars="200"/>
        <w:jc w:val="left"/>
        <w:textAlignment w:val="auto"/>
        <w:outlineLvl w:val="9"/>
        <w:rPr>
          <w:rFonts w:ascii="华文楷体" w:hAnsi="华文楷体" w:eastAsia="华文楷体"/>
        </w:rPr>
      </w:pPr>
      <w:r>
        <w:rPr>
          <w:rFonts w:hint="eastAsia" w:ascii="华文楷体" w:hAnsi="华文楷体" w:eastAsia="华文楷体"/>
        </w:rPr>
        <w:t>伍玉鹏，办公室副主任，项目联络牵头人，负责上传下达；各课题负责单位各派1人配合；</w:t>
      </w:r>
    </w:p>
    <w:p>
      <w:pPr>
        <w:pStyle w:val="10"/>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480" w:firstLineChars="200"/>
        <w:jc w:val="left"/>
        <w:textAlignment w:val="auto"/>
        <w:outlineLvl w:val="9"/>
        <w:rPr>
          <w:rFonts w:ascii="华文楷体" w:hAnsi="华文楷体" w:eastAsia="华文楷体"/>
        </w:rPr>
      </w:pPr>
      <w:r>
        <w:rPr>
          <w:rFonts w:hint="eastAsia" w:ascii="华文楷体" w:hAnsi="华文楷体" w:eastAsia="华文楷体"/>
        </w:rPr>
        <w:t>黄  魏，项目信息管理牵头人，项目基础数据、信息收集整理，数据库建设；</w:t>
      </w:r>
    </w:p>
    <w:p>
      <w:pPr>
        <w:pStyle w:val="10"/>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480" w:firstLineChars="200"/>
        <w:jc w:val="left"/>
        <w:textAlignment w:val="auto"/>
        <w:outlineLvl w:val="9"/>
        <w:rPr>
          <w:rFonts w:ascii="华文楷体" w:hAnsi="华文楷体" w:eastAsia="华文楷体"/>
        </w:rPr>
      </w:pPr>
      <w:r>
        <w:rPr>
          <w:rFonts w:hint="eastAsia" w:ascii="华文楷体" w:hAnsi="华文楷体" w:eastAsia="华文楷体"/>
        </w:rPr>
        <w:t>张振宇，协助项目联络，协助柑橘减药基础数据、信息收集整理。</w:t>
      </w:r>
    </w:p>
    <w:p>
      <w:pPr>
        <w:pStyle w:val="10"/>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480" w:firstLineChars="200"/>
        <w:jc w:val="left"/>
        <w:textAlignment w:val="auto"/>
        <w:outlineLvl w:val="9"/>
        <w:rPr>
          <w:rFonts w:ascii="华文楷体" w:hAnsi="华文楷体" w:eastAsia="华文楷体"/>
        </w:rPr>
      </w:pPr>
      <w:r>
        <w:rPr>
          <w:rFonts w:hint="eastAsia" w:ascii="华文楷体" w:hAnsi="华文楷体" w:eastAsia="华文楷体"/>
        </w:rPr>
        <w:t>办公室人员根据分工，加强沟通协作，确保项目及各课题运行高效、信息畅通。</w:t>
      </w:r>
    </w:p>
    <w:p>
      <w:pPr>
        <w:pStyle w:val="10"/>
        <w:ind w:firstLine="480" w:firstLineChars="200"/>
        <w:rPr>
          <w:rFonts w:ascii="华文楷体" w:hAnsi="华文楷体" w:eastAsia="华文楷体"/>
        </w:rPr>
      </w:pPr>
    </w:p>
    <w:p>
      <w:pPr>
        <w:pStyle w:val="10"/>
        <w:ind w:firstLine="480" w:firstLineChars="200"/>
        <w:rPr>
          <w:rFonts w:ascii="华文楷体" w:hAnsi="华文楷体" w:eastAsia="华文楷体"/>
        </w:rPr>
      </w:pPr>
    </w:p>
    <w:p>
      <w:pPr>
        <w:pStyle w:val="10"/>
        <w:ind w:firstLine="480" w:firstLineChars="200"/>
        <w:rPr>
          <w:rFonts w:ascii="华文楷体" w:hAnsi="华文楷体" w:eastAsia="华文楷体"/>
        </w:rPr>
      </w:pPr>
    </w:p>
    <w:p>
      <w:pPr>
        <w:pStyle w:val="10"/>
        <w:rPr>
          <w:rFonts w:ascii="华文楷体" w:hAnsi="华文楷体" w:eastAsia="华文楷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华文楷体">
    <w:altName w:val="宋体"/>
    <w:panose1 w:val="02010600040101010101"/>
    <w:charset w:val="86"/>
    <w:family w:val="auto"/>
    <w:pitch w:val="default"/>
    <w:sig w:usb0="00000000" w:usb1="00000000" w:usb2="00000010" w:usb3="00000000" w:csb0="0004009F" w:csb1="00000000"/>
  </w:font>
  <w:font w:name="BatangChe">
    <w:panose1 w:val="02030609000101010101"/>
    <w:charset w:val="81"/>
    <w:family w:val="auto"/>
    <w:pitch w:val="default"/>
    <w:sig w:usb0="B00002AF" w:usb1="69D77CFB" w:usb2="00000030" w:usb3="00000000" w:csb0="4008009F" w:csb1="DFD7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华文楷体">
    <w:altName w:val="宋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E43"/>
    <w:rsid w:val="00000B31"/>
    <w:rsid w:val="00005252"/>
    <w:rsid w:val="00006C79"/>
    <w:rsid w:val="00011984"/>
    <w:rsid w:val="00016AC5"/>
    <w:rsid w:val="0003759C"/>
    <w:rsid w:val="00043253"/>
    <w:rsid w:val="000454A8"/>
    <w:rsid w:val="000533E8"/>
    <w:rsid w:val="00062855"/>
    <w:rsid w:val="00073E14"/>
    <w:rsid w:val="000810F4"/>
    <w:rsid w:val="00092641"/>
    <w:rsid w:val="000A008C"/>
    <w:rsid w:val="000A3C72"/>
    <w:rsid w:val="000B4554"/>
    <w:rsid w:val="000B51E4"/>
    <w:rsid w:val="000B6E05"/>
    <w:rsid w:val="000B7B14"/>
    <w:rsid w:val="000D39A9"/>
    <w:rsid w:val="000D5B33"/>
    <w:rsid w:val="000E0681"/>
    <w:rsid w:val="00100B3F"/>
    <w:rsid w:val="00115402"/>
    <w:rsid w:val="0012293A"/>
    <w:rsid w:val="00124CA0"/>
    <w:rsid w:val="00147E7B"/>
    <w:rsid w:val="00151205"/>
    <w:rsid w:val="00172F17"/>
    <w:rsid w:val="001A6D1C"/>
    <w:rsid w:val="001B279B"/>
    <w:rsid w:val="001C2ED6"/>
    <w:rsid w:val="001C528E"/>
    <w:rsid w:val="001E0406"/>
    <w:rsid w:val="001E62F8"/>
    <w:rsid w:val="001E7AE1"/>
    <w:rsid w:val="001F10FF"/>
    <w:rsid w:val="001F50B1"/>
    <w:rsid w:val="001F798B"/>
    <w:rsid w:val="0020536C"/>
    <w:rsid w:val="0021137A"/>
    <w:rsid w:val="00217361"/>
    <w:rsid w:val="00220BEA"/>
    <w:rsid w:val="002239DC"/>
    <w:rsid w:val="002241C9"/>
    <w:rsid w:val="00261AE1"/>
    <w:rsid w:val="002637FC"/>
    <w:rsid w:val="00276C75"/>
    <w:rsid w:val="00277A8C"/>
    <w:rsid w:val="00277DB0"/>
    <w:rsid w:val="00294A57"/>
    <w:rsid w:val="00295E9F"/>
    <w:rsid w:val="002A1392"/>
    <w:rsid w:val="002C4308"/>
    <w:rsid w:val="002C766B"/>
    <w:rsid w:val="002D62CE"/>
    <w:rsid w:val="002E40F4"/>
    <w:rsid w:val="002E516C"/>
    <w:rsid w:val="002E67B7"/>
    <w:rsid w:val="002F614F"/>
    <w:rsid w:val="00302757"/>
    <w:rsid w:val="0031032E"/>
    <w:rsid w:val="003104E9"/>
    <w:rsid w:val="003118AA"/>
    <w:rsid w:val="00313D1E"/>
    <w:rsid w:val="00324474"/>
    <w:rsid w:val="0034771F"/>
    <w:rsid w:val="00351537"/>
    <w:rsid w:val="00352AC3"/>
    <w:rsid w:val="00357CCB"/>
    <w:rsid w:val="00357DF7"/>
    <w:rsid w:val="00367291"/>
    <w:rsid w:val="00367D41"/>
    <w:rsid w:val="0037777D"/>
    <w:rsid w:val="00383A47"/>
    <w:rsid w:val="00384FC5"/>
    <w:rsid w:val="00391F60"/>
    <w:rsid w:val="00397F31"/>
    <w:rsid w:val="003A3314"/>
    <w:rsid w:val="003D6AA4"/>
    <w:rsid w:val="003D6C25"/>
    <w:rsid w:val="003F0DDF"/>
    <w:rsid w:val="003F4F39"/>
    <w:rsid w:val="00417A29"/>
    <w:rsid w:val="00417C4F"/>
    <w:rsid w:val="00423222"/>
    <w:rsid w:val="004314A9"/>
    <w:rsid w:val="00432770"/>
    <w:rsid w:val="00433A17"/>
    <w:rsid w:val="00435927"/>
    <w:rsid w:val="0043686C"/>
    <w:rsid w:val="00441670"/>
    <w:rsid w:val="0045000E"/>
    <w:rsid w:val="004520B7"/>
    <w:rsid w:val="0045280F"/>
    <w:rsid w:val="00452B2D"/>
    <w:rsid w:val="004709D3"/>
    <w:rsid w:val="004727B9"/>
    <w:rsid w:val="00475081"/>
    <w:rsid w:val="00476937"/>
    <w:rsid w:val="00477938"/>
    <w:rsid w:val="0048384D"/>
    <w:rsid w:val="00495FCD"/>
    <w:rsid w:val="004B6712"/>
    <w:rsid w:val="004C11FB"/>
    <w:rsid w:val="004C1BD9"/>
    <w:rsid w:val="004D2FCE"/>
    <w:rsid w:val="004D7F71"/>
    <w:rsid w:val="004E1D4C"/>
    <w:rsid w:val="004F63BA"/>
    <w:rsid w:val="0050534F"/>
    <w:rsid w:val="00507F44"/>
    <w:rsid w:val="00514F16"/>
    <w:rsid w:val="00520B25"/>
    <w:rsid w:val="005225C6"/>
    <w:rsid w:val="00527586"/>
    <w:rsid w:val="0053638F"/>
    <w:rsid w:val="0054797B"/>
    <w:rsid w:val="00553173"/>
    <w:rsid w:val="005536FD"/>
    <w:rsid w:val="005562DE"/>
    <w:rsid w:val="00556E8F"/>
    <w:rsid w:val="005705CA"/>
    <w:rsid w:val="005A03EA"/>
    <w:rsid w:val="005B65FE"/>
    <w:rsid w:val="005C75EB"/>
    <w:rsid w:val="005D4B16"/>
    <w:rsid w:val="005F04B8"/>
    <w:rsid w:val="005F0580"/>
    <w:rsid w:val="005F7400"/>
    <w:rsid w:val="00634866"/>
    <w:rsid w:val="00641E1B"/>
    <w:rsid w:val="00666A80"/>
    <w:rsid w:val="0067783C"/>
    <w:rsid w:val="00691684"/>
    <w:rsid w:val="006963D3"/>
    <w:rsid w:val="006C4F78"/>
    <w:rsid w:val="006E2110"/>
    <w:rsid w:val="006E45F7"/>
    <w:rsid w:val="006E58A9"/>
    <w:rsid w:val="006F0461"/>
    <w:rsid w:val="006F0F6D"/>
    <w:rsid w:val="006F2058"/>
    <w:rsid w:val="006F2098"/>
    <w:rsid w:val="0070087C"/>
    <w:rsid w:val="0070470B"/>
    <w:rsid w:val="00706D9D"/>
    <w:rsid w:val="00706DAF"/>
    <w:rsid w:val="0071209B"/>
    <w:rsid w:val="00721354"/>
    <w:rsid w:val="00723B29"/>
    <w:rsid w:val="00724E9C"/>
    <w:rsid w:val="00756323"/>
    <w:rsid w:val="0076401D"/>
    <w:rsid w:val="00764820"/>
    <w:rsid w:val="00782032"/>
    <w:rsid w:val="00786FD6"/>
    <w:rsid w:val="00796EB7"/>
    <w:rsid w:val="007A1E8E"/>
    <w:rsid w:val="007D47BC"/>
    <w:rsid w:val="007E456D"/>
    <w:rsid w:val="007F447B"/>
    <w:rsid w:val="00803D90"/>
    <w:rsid w:val="008118A6"/>
    <w:rsid w:val="00814B3E"/>
    <w:rsid w:val="008159DF"/>
    <w:rsid w:val="00823E3B"/>
    <w:rsid w:val="008478B5"/>
    <w:rsid w:val="008517C4"/>
    <w:rsid w:val="00854F02"/>
    <w:rsid w:val="00870003"/>
    <w:rsid w:val="0087152D"/>
    <w:rsid w:val="008A03FB"/>
    <w:rsid w:val="008A2CC4"/>
    <w:rsid w:val="008B6521"/>
    <w:rsid w:val="008C1CA3"/>
    <w:rsid w:val="008C7ED5"/>
    <w:rsid w:val="008E38C0"/>
    <w:rsid w:val="008E51A2"/>
    <w:rsid w:val="00900CDF"/>
    <w:rsid w:val="009477A2"/>
    <w:rsid w:val="00970546"/>
    <w:rsid w:val="009706E9"/>
    <w:rsid w:val="009824CD"/>
    <w:rsid w:val="0098576F"/>
    <w:rsid w:val="009873BB"/>
    <w:rsid w:val="009941A4"/>
    <w:rsid w:val="009B1781"/>
    <w:rsid w:val="009B4854"/>
    <w:rsid w:val="009B64EA"/>
    <w:rsid w:val="009C17AB"/>
    <w:rsid w:val="009C1F65"/>
    <w:rsid w:val="009C3CFC"/>
    <w:rsid w:val="009E14B3"/>
    <w:rsid w:val="009F4A0A"/>
    <w:rsid w:val="00A037DD"/>
    <w:rsid w:val="00A107A3"/>
    <w:rsid w:val="00A132DE"/>
    <w:rsid w:val="00A43386"/>
    <w:rsid w:val="00A55E3B"/>
    <w:rsid w:val="00A61715"/>
    <w:rsid w:val="00A63E01"/>
    <w:rsid w:val="00A81FDF"/>
    <w:rsid w:val="00A91258"/>
    <w:rsid w:val="00A96E54"/>
    <w:rsid w:val="00AA0F2C"/>
    <w:rsid w:val="00AA3AE6"/>
    <w:rsid w:val="00AB5C51"/>
    <w:rsid w:val="00AD5746"/>
    <w:rsid w:val="00AE15D6"/>
    <w:rsid w:val="00AE62E6"/>
    <w:rsid w:val="00B00759"/>
    <w:rsid w:val="00B0764C"/>
    <w:rsid w:val="00B07A32"/>
    <w:rsid w:val="00B10816"/>
    <w:rsid w:val="00B262BB"/>
    <w:rsid w:val="00B32969"/>
    <w:rsid w:val="00B3782C"/>
    <w:rsid w:val="00B378F1"/>
    <w:rsid w:val="00B4204C"/>
    <w:rsid w:val="00B50EBE"/>
    <w:rsid w:val="00B50ECC"/>
    <w:rsid w:val="00B613F3"/>
    <w:rsid w:val="00B62EB3"/>
    <w:rsid w:val="00B65B13"/>
    <w:rsid w:val="00B8072E"/>
    <w:rsid w:val="00B80ABF"/>
    <w:rsid w:val="00B81BA6"/>
    <w:rsid w:val="00B81C97"/>
    <w:rsid w:val="00B843A6"/>
    <w:rsid w:val="00B9525B"/>
    <w:rsid w:val="00B9527E"/>
    <w:rsid w:val="00BA1138"/>
    <w:rsid w:val="00BA4EB8"/>
    <w:rsid w:val="00BA5797"/>
    <w:rsid w:val="00BB5121"/>
    <w:rsid w:val="00BC2B9A"/>
    <w:rsid w:val="00BC336D"/>
    <w:rsid w:val="00BC3D98"/>
    <w:rsid w:val="00BC40D3"/>
    <w:rsid w:val="00BD7832"/>
    <w:rsid w:val="00BE3D1B"/>
    <w:rsid w:val="00C11F79"/>
    <w:rsid w:val="00C12541"/>
    <w:rsid w:val="00C14092"/>
    <w:rsid w:val="00C1521E"/>
    <w:rsid w:val="00C21257"/>
    <w:rsid w:val="00C41144"/>
    <w:rsid w:val="00C5453E"/>
    <w:rsid w:val="00C566FD"/>
    <w:rsid w:val="00CA1125"/>
    <w:rsid w:val="00CA35D8"/>
    <w:rsid w:val="00CA7C6B"/>
    <w:rsid w:val="00CB253F"/>
    <w:rsid w:val="00CD7E35"/>
    <w:rsid w:val="00CF27F7"/>
    <w:rsid w:val="00CF397A"/>
    <w:rsid w:val="00CF4BC6"/>
    <w:rsid w:val="00D00FC9"/>
    <w:rsid w:val="00D03932"/>
    <w:rsid w:val="00D0436E"/>
    <w:rsid w:val="00D125D7"/>
    <w:rsid w:val="00D1603A"/>
    <w:rsid w:val="00D2488C"/>
    <w:rsid w:val="00D25836"/>
    <w:rsid w:val="00D325B9"/>
    <w:rsid w:val="00D3462B"/>
    <w:rsid w:val="00D35E25"/>
    <w:rsid w:val="00D36A47"/>
    <w:rsid w:val="00D404C1"/>
    <w:rsid w:val="00D53667"/>
    <w:rsid w:val="00D620D9"/>
    <w:rsid w:val="00D63FCC"/>
    <w:rsid w:val="00D82D82"/>
    <w:rsid w:val="00D946AF"/>
    <w:rsid w:val="00DA0D40"/>
    <w:rsid w:val="00DA18C1"/>
    <w:rsid w:val="00DD0E43"/>
    <w:rsid w:val="00DE79CA"/>
    <w:rsid w:val="00DF2252"/>
    <w:rsid w:val="00E075D3"/>
    <w:rsid w:val="00E16092"/>
    <w:rsid w:val="00E67E86"/>
    <w:rsid w:val="00E8112D"/>
    <w:rsid w:val="00E835F8"/>
    <w:rsid w:val="00E914F8"/>
    <w:rsid w:val="00EB0735"/>
    <w:rsid w:val="00EB1F31"/>
    <w:rsid w:val="00EB4A10"/>
    <w:rsid w:val="00ED6492"/>
    <w:rsid w:val="00EE5B10"/>
    <w:rsid w:val="00EF7046"/>
    <w:rsid w:val="00F04FB5"/>
    <w:rsid w:val="00F05019"/>
    <w:rsid w:val="00F06689"/>
    <w:rsid w:val="00F24648"/>
    <w:rsid w:val="00F25F7D"/>
    <w:rsid w:val="00F301F3"/>
    <w:rsid w:val="00F30F52"/>
    <w:rsid w:val="00F32641"/>
    <w:rsid w:val="00F379AA"/>
    <w:rsid w:val="00F44CEC"/>
    <w:rsid w:val="00F517B5"/>
    <w:rsid w:val="00F701A4"/>
    <w:rsid w:val="00F81DA5"/>
    <w:rsid w:val="00F87876"/>
    <w:rsid w:val="00F90E46"/>
    <w:rsid w:val="00F96224"/>
    <w:rsid w:val="00FA6424"/>
    <w:rsid w:val="00FB5FAD"/>
    <w:rsid w:val="00FD5C16"/>
    <w:rsid w:val="00FD6030"/>
    <w:rsid w:val="00FD7499"/>
    <w:rsid w:val="00FF4B3D"/>
    <w:rsid w:val="72501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Date"/>
    <w:basedOn w:val="1"/>
    <w:next w:val="1"/>
    <w:link w:val="12"/>
    <w:unhideWhenUsed/>
    <w:uiPriority w:val="99"/>
    <w:pPr>
      <w:ind w:left="100" w:leftChars="2500"/>
    </w:p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semiHidden/>
    <w:uiPriority w:val="99"/>
    <w:rPr>
      <w:sz w:val="18"/>
      <w:szCs w:val="18"/>
    </w:rPr>
  </w:style>
  <w:style w:type="character" w:customStyle="1" w:styleId="8">
    <w:name w:val="页脚 Char"/>
    <w:basedOn w:val="5"/>
    <w:link w:val="3"/>
    <w:semiHidden/>
    <w:uiPriority w:val="99"/>
    <w:rPr>
      <w:sz w:val="18"/>
      <w:szCs w:val="18"/>
    </w:rPr>
  </w:style>
  <w:style w:type="paragraph" w:customStyle="1" w:styleId="9">
    <w:name w:val="List Paragraph"/>
    <w:basedOn w:val="1"/>
    <w:qFormat/>
    <w:uiPriority w:val="34"/>
    <w:pPr>
      <w:ind w:firstLine="420" w:firstLineChars="200"/>
    </w:pPr>
  </w:style>
  <w:style w:type="paragraph" w:customStyle="1" w:styleId="10">
    <w:name w:val="Default"/>
    <w:qFormat/>
    <w:uiPriority w:val="0"/>
    <w:pPr>
      <w:widowControl w:val="0"/>
      <w:autoSpaceDE w:val="0"/>
      <w:autoSpaceDN w:val="0"/>
      <w:adjustRightInd w:val="0"/>
    </w:pPr>
    <w:rPr>
      <w:rFonts w:ascii="Times New Roman" w:hAnsi="Times New Roman" w:cs="Times New Roman" w:eastAsiaTheme="minorEastAsia"/>
      <w:color w:val="000000"/>
      <w:kern w:val="0"/>
      <w:sz w:val="24"/>
      <w:szCs w:val="24"/>
      <w:lang w:val="en-US" w:eastAsia="zh-CN" w:bidi="ar-SA"/>
    </w:rPr>
  </w:style>
  <w:style w:type="paragraph" w:customStyle="1" w:styleId="11">
    <w:name w:val="p0"/>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
    <w:name w:val="日期 Char"/>
    <w:basedOn w:val="5"/>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782</Words>
  <Characters>4459</Characters>
  <Lines>37</Lines>
  <Paragraphs>10</Paragraphs>
  <TotalTime>0</TotalTime>
  <ScaleCrop>false</ScaleCrop>
  <LinksUpToDate>false</LinksUpToDate>
  <CharactersWithSpaces>5231</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2017-07-22T03:56:00Z</dcterms:created>
  <dc:creator>胡承孝</dc:creator>
  <cp:lastModifiedBy>Administrator</cp:lastModifiedBy>
  <cp:lastPrinted>2017-09-25T07:22:17Z</cp:lastPrinted>
  <dcterms:modified xsi:type="dcterms:W3CDTF">2017-09-25T07:25:06Z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